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Pr="00533FCB" w:rsidRDefault="0051682E" w:rsidP="00533FCB">
      <w:pPr>
        <w:ind w:left="360" w:right="180"/>
        <w:rPr>
          <w:rFonts w:cs="Arial"/>
          <w:b/>
        </w:rPr>
      </w:pPr>
    </w:p>
    <w:p w14:paraId="03227334" w14:textId="77777777" w:rsidR="000B0734" w:rsidRPr="00533FCB" w:rsidRDefault="000B0734" w:rsidP="00533FCB">
      <w:pPr>
        <w:spacing w:after="0"/>
        <w:ind w:left="360"/>
        <w:jc w:val="center"/>
        <w:rPr>
          <w:rFonts w:cs="Arial"/>
          <w:b/>
        </w:rPr>
      </w:pPr>
    </w:p>
    <w:p w14:paraId="5BAA3A20" w14:textId="2BAEC01C" w:rsidR="0051682E" w:rsidRPr="00533FCB" w:rsidRDefault="00533FCB" w:rsidP="00533FCB">
      <w:pPr>
        <w:spacing w:after="120"/>
        <w:rPr>
          <w:rFonts w:cs="Arial"/>
          <w:b/>
        </w:rPr>
      </w:pPr>
      <w:r w:rsidRPr="00533FCB">
        <w:rPr>
          <w:rFonts w:cs="Arial"/>
          <w:b/>
        </w:rPr>
        <w:t>Title and Focus</w:t>
      </w:r>
      <w:r w:rsidR="0051682E" w:rsidRPr="00533FCB">
        <w:rPr>
          <w:rFonts w:cs="Arial"/>
          <w:b/>
        </w:rPr>
        <w:t xml:space="preserve"> of Activity:</w:t>
      </w:r>
      <w:r w:rsidR="000B0734" w:rsidRPr="00533FCB">
        <w:rPr>
          <w:rFonts w:cs="Arial"/>
        </w:rPr>
        <w:t xml:space="preserve"> </w:t>
      </w:r>
      <w:r w:rsidR="0012591B">
        <w:rPr>
          <w:rFonts w:cs="Arial"/>
        </w:rPr>
        <w:tab/>
      </w:r>
      <w:r w:rsidR="00844B66" w:rsidRPr="00533FCB">
        <w:rPr>
          <w:rFonts w:cs="Arial"/>
          <w:u w:val="single"/>
        </w:rPr>
        <w:t>Partnering with Healthcare</w:t>
      </w:r>
      <w:r w:rsidR="007116BB" w:rsidRPr="00533FCB">
        <w:rPr>
          <w:rFonts w:cs="Arial"/>
          <w:u w:val="single"/>
        </w:rPr>
        <w:t xml:space="preserve"> Mentors in the Classroom</w:t>
      </w:r>
      <w:r w:rsidR="00844B66" w:rsidRPr="00533FCB">
        <w:rPr>
          <w:rFonts w:cs="Arial"/>
          <w:u w:val="single"/>
        </w:rPr>
        <w:t xml:space="preserve">: </w:t>
      </w:r>
      <w:r w:rsidR="007D42B2" w:rsidRPr="00533FCB">
        <w:rPr>
          <w:rFonts w:cs="Arial"/>
          <w:u w:val="single"/>
        </w:rPr>
        <w:t xml:space="preserve">A </w:t>
      </w:r>
      <w:r w:rsidR="007116BB" w:rsidRPr="00533FCB">
        <w:rPr>
          <w:rFonts w:cs="Arial"/>
          <w:u w:val="single"/>
        </w:rPr>
        <w:t>Curricular Approach</w:t>
      </w:r>
      <w:r w:rsidR="007D42B2" w:rsidRPr="00533FCB">
        <w:rPr>
          <w:rFonts w:cs="Arial"/>
          <w:u w:val="single"/>
        </w:rPr>
        <w:t xml:space="preserve"> to Help</w:t>
      </w:r>
      <w:r w:rsidR="00844B66" w:rsidRPr="00533FCB">
        <w:rPr>
          <w:rFonts w:cs="Arial"/>
          <w:u w:val="single"/>
        </w:rPr>
        <w:t xml:space="preserve"> Student</w:t>
      </w:r>
      <w:r w:rsidR="007D42B2" w:rsidRPr="00533FCB">
        <w:rPr>
          <w:rFonts w:cs="Arial"/>
          <w:u w:val="single"/>
        </w:rPr>
        <w:t>s</w:t>
      </w:r>
      <w:r w:rsidR="007F4965" w:rsidRPr="00533FCB">
        <w:rPr>
          <w:rFonts w:cs="Arial"/>
          <w:u w:val="single"/>
        </w:rPr>
        <w:t xml:space="preserve"> Understand </w:t>
      </w:r>
      <w:r w:rsidR="00844B66" w:rsidRPr="00533FCB">
        <w:rPr>
          <w:rFonts w:cs="Arial"/>
          <w:u w:val="single"/>
        </w:rPr>
        <w:t xml:space="preserve">the </w:t>
      </w:r>
      <w:r w:rsidR="007116BB" w:rsidRPr="00533FCB">
        <w:rPr>
          <w:rFonts w:cs="Arial"/>
          <w:u w:val="single"/>
        </w:rPr>
        <w:t>Management of Multiple Sclerosis</w:t>
      </w:r>
      <w:r w:rsidR="00844B66" w:rsidRPr="00533FCB">
        <w:rPr>
          <w:rFonts w:cs="Arial"/>
          <w:u w:val="single"/>
        </w:rPr>
        <w:t xml:space="preserve"> and </w:t>
      </w:r>
      <w:r w:rsidR="007D42B2" w:rsidRPr="00533FCB">
        <w:rPr>
          <w:rFonts w:cs="Arial"/>
          <w:u w:val="single"/>
        </w:rPr>
        <w:t xml:space="preserve">Foster </w:t>
      </w:r>
      <w:proofErr w:type="spellStart"/>
      <w:r w:rsidR="00844B66" w:rsidRPr="00533FCB">
        <w:rPr>
          <w:rFonts w:cs="Arial"/>
          <w:u w:val="single"/>
        </w:rPr>
        <w:t>Interprofessional</w:t>
      </w:r>
      <w:proofErr w:type="spellEnd"/>
      <w:r w:rsidR="00844B66" w:rsidRPr="00533FCB">
        <w:rPr>
          <w:rFonts w:cs="Arial"/>
          <w:u w:val="single"/>
        </w:rPr>
        <w:t xml:space="preserve"> Collaboration</w:t>
      </w:r>
      <w:r w:rsidR="00844B66" w:rsidRPr="00533FCB">
        <w:rPr>
          <w:rFonts w:cs="Arial"/>
          <w:b/>
        </w:rPr>
        <w:t xml:space="preserve"> </w:t>
      </w:r>
      <w:r w:rsidR="00844B66" w:rsidRPr="00533FCB">
        <w:rPr>
          <w:rFonts w:cs="Arial"/>
          <w:u w:val="single"/>
        </w:rPr>
        <w:t>Skills</w:t>
      </w:r>
      <w:r w:rsidRPr="00533FCB">
        <w:rPr>
          <w:rFonts w:cs="Arial"/>
          <w:u w:val="single"/>
        </w:rPr>
        <w:t xml:space="preserve">   </w:t>
      </w:r>
      <w:r>
        <w:rPr>
          <w:rFonts w:cs="Arial"/>
          <w:b/>
        </w:rPr>
        <w:t xml:space="preserve">                                                                                                                                                                                     </w:t>
      </w:r>
      <w:r w:rsidRPr="00533FCB">
        <w:rPr>
          <w:rFonts w:cs="Arial"/>
          <w:i/>
        </w:rPr>
        <w:t xml:space="preserve">Patient/Client Management; </w:t>
      </w:r>
      <w:proofErr w:type="spellStart"/>
      <w:r w:rsidRPr="00533FCB">
        <w:rPr>
          <w:rFonts w:cs="Arial"/>
          <w:i/>
        </w:rPr>
        <w:t>Interprofessional</w:t>
      </w:r>
      <w:proofErr w:type="spellEnd"/>
      <w:r w:rsidRPr="00533FCB">
        <w:rPr>
          <w:rFonts w:cs="Arial"/>
          <w:i/>
        </w:rPr>
        <w:t xml:space="preserve"> Education</w:t>
      </w:r>
    </w:p>
    <w:p w14:paraId="795AD285" w14:textId="77777777" w:rsidR="00533FCB" w:rsidRPr="00533FCB" w:rsidRDefault="00533FCB" w:rsidP="00533FCB">
      <w:pPr>
        <w:spacing w:after="120"/>
        <w:rPr>
          <w:rFonts w:cs="Arial"/>
          <w:b/>
        </w:rPr>
      </w:pPr>
    </w:p>
    <w:p w14:paraId="2C4B2710" w14:textId="77777777" w:rsidR="00533FCB" w:rsidRPr="00533FCB" w:rsidRDefault="00533FCB" w:rsidP="00533FCB">
      <w:pPr>
        <w:spacing w:after="120"/>
        <w:rPr>
          <w:rFonts w:cs="Arial"/>
        </w:rPr>
      </w:pPr>
    </w:p>
    <w:p w14:paraId="04DA702E" w14:textId="73BD1E25" w:rsidR="00844B66" w:rsidRDefault="0051682E" w:rsidP="00533FCB">
      <w:pPr>
        <w:spacing w:after="120"/>
        <w:rPr>
          <w:rFonts w:cs="Arial"/>
        </w:rPr>
      </w:pPr>
      <w:r w:rsidRPr="00533FCB">
        <w:rPr>
          <w:rFonts w:cs="Arial"/>
          <w:b/>
        </w:rPr>
        <w:t>Contributor(s):</w:t>
      </w:r>
      <w:r w:rsidR="000B0734" w:rsidRPr="00533FCB">
        <w:rPr>
          <w:rFonts w:cs="Arial"/>
        </w:rPr>
        <w:t xml:space="preserve"> </w:t>
      </w:r>
      <w:r w:rsidR="00533FCB" w:rsidRPr="00533FCB">
        <w:rPr>
          <w:rFonts w:cs="Arial"/>
        </w:rPr>
        <w:tab/>
      </w:r>
      <w:r w:rsidR="00844B66" w:rsidRPr="00533FCB">
        <w:rPr>
          <w:rFonts w:cs="Arial"/>
        </w:rPr>
        <w:t xml:space="preserve">Robert </w:t>
      </w:r>
      <w:proofErr w:type="spellStart"/>
      <w:r w:rsidR="00844B66" w:rsidRPr="00533FCB">
        <w:rPr>
          <w:rFonts w:cs="Arial"/>
        </w:rPr>
        <w:t>Wellmon</w:t>
      </w:r>
      <w:proofErr w:type="spellEnd"/>
      <w:r w:rsidR="00844B66" w:rsidRPr="00533FCB">
        <w:rPr>
          <w:rFonts w:cs="Arial"/>
        </w:rPr>
        <w:t>, PT, DPT, PhD, NCS</w:t>
      </w:r>
      <w:r w:rsidR="00533FCB" w:rsidRPr="00533FCB">
        <w:rPr>
          <w:rFonts w:cs="Arial"/>
        </w:rPr>
        <w:t xml:space="preserve">; </w:t>
      </w:r>
      <w:hyperlink r:id="rId8" w:history="1">
        <w:r w:rsidR="00533FCB" w:rsidRPr="00533FCB">
          <w:rPr>
            <w:rStyle w:val="Hyperlink"/>
            <w:rFonts w:cs="Arial"/>
          </w:rPr>
          <w:t>rhwellmon@widener.edu</w:t>
        </w:r>
      </w:hyperlink>
      <w:r w:rsidR="00533FCB" w:rsidRPr="00533FCB">
        <w:rPr>
          <w:rFonts w:cs="Arial"/>
        </w:rPr>
        <w:t xml:space="preserve">                                                                 </w:t>
      </w:r>
      <w:r w:rsidR="00844B66" w:rsidRPr="00533FCB">
        <w:rPr>
          <w:rFonts w:cs="Arial"/>
        </w:rPr>
        <w:t>Institute for Physical Therapy Education</w:t>
      </w:r>
      <w:r w:rsidR="00533FCB" w:rsidRPr="00533FCB">
        <w:rPr>
          <w:rFonts w:cs="Arial"/>
        </w:rPr>
        <w:t xml:space="preserve">, </w:t>
      </w:r>
      <w:r w:rsidR="00844B66" w:rsidRPr="00533FCB">
        <w:rPr>
          <w:rFonts w:cs="Arial"/>
        </w:rPr>
        <w:t>Widener University</w:t>
      </w:r>
    </w:p>
    <w:p w14:paraId="35EE7FD2" w14:textId="77777777" w:rsidR="00533FCB" w:rsidRDefault="00533FCB" w:rsidP="00533FCB">
      <w:pPr>
        <w:spacing w:after="120"/>
        <w:rPr>
          <w:rFonts w:cs="Arial"/>
        </w:rPr>
      </w:pPr>
    </w:p>
    <w:p w14:paraId="31883C90" w14:textId="449A21CC" w:rsidR="0051682E" w:rsidRDefault="009B7C49" w:rsidP="009B7C49">
      <w:pPr>
        <w:spacing w:after="120"/>
        <w:rPr>
          <w:rFonts w:cs="Arial"/>
        </w:rPr>
      </w:pPr>
      <w:r w:rsidRPr="00BD7219">
        <w:rPr>
          <w:rFonts w:cs="Arial"/>
          <w:b/>
        </w:rPr>
        <w:t xml:space="preserve">Course Information:                                                                                                                                                                               </w:t>
      </w:r>
      <w:r w:rsidR="00844B66" w:rsidRPr="009B7C49">
        <w:rPr>
          <w:rFonts w:cs="Arial"/>
        </w:rPr>
        <w:t>Advanced Practice IV: Selected Topics in Rehabilitation Practice</w:t>
      </w:r>
      <w:r>
        <w:rPr>
          <w:rFonts w:cs="Arial"/>
        </w:rPr>
        <w:t xml:space="preserve">; </w:t>
      </w:r>
      <w:r w:rsidR="00844B66" w:rsidRPr="009B7C49">
        <w:rPr>
          <w:rFonts w:cs="Arial"/>
        </w:rPr>
        <w:t>2</w:t>
      </w:r>
      <w:r>
        <w:rPr>
          <w:rFonts w:cs="Arial"/>
        </w:rPr>
        <w:t xml:space="preserve"> credits</w:t>
      </w:r>
      <w:proofErr w:type="gramStart"/>
      <w:r>
        <w:rPr>
          <w:rFonts w:cs="Arial"/>
        </w:rPr>
        <w:t xml:space="preserve">;  </w:t>
      </w:r>
      <w:r w:rsidR="00844B66" w:rsidRPr="009B7C49">
        <w:rPr>
          <w:rFonts w:cs="Arial"/>
        </w:rPr>
        <w:t>3</w:t>
      </w:r>
      <w:r w:rsidR="00844B66" w:rsidRPr="009B7C49">
        <w:rPr>
          <w:rFonts w:cs="Arial"/>
          <w:vertAlign w:val="superscript"/>
        </w:rPr>
        <w:t>rd</w:t>
      </w:r>
      <w:proofErr w:type="gramEnd"/>
      <w:r>
        <w:rPr>
          <w:rFonts w:cs="Arial"/>
        </w:rPr>
        <w:t xml:space="preserve"> Year Fall Semester.  </w:t>
      </w:r>
    </w:p>
    <w:p w14:paraId="0BC489AA" w14:textId="77777777" w:rsidR="009B7C49" w:rsidRDefault="009B7C49" w:rsidP="009B7C49">
      <w:pPr>
        <w:spacing w:after="120"/>
        <w:rPr>
          <w:rFonts w:cs="Arial"/>
        </w:rPr>
      </w:pPr>
    </w:p>
    <w:p w14:paraId="0AE6B480" w14:textId="7042E4CF" w:rsidR="009B7C49" w:rsidRPr="00533FCB" w:rsidRDefault="009B7C49" w:rsidP="009B7C49">
      <w:pPr>
        <w:spacing w:after="120"/>
        <w:ind w:right="360"/>
        <w:rPr>
          <w:rFonts w:cs="Arial"/>
        </w:rPr>
      </w:pPr>
      <w:r w:rsidRPr="00BD7219">
        <w:rPr>
          <w:rFonts w:cs="Arial"/>
          <w:b/>
        </w:rPr>
        <w:t>Learning Experience Description</w:t>
      </w:r>
      <w:r>
        <w:rPr>
          <w:rFonts w:cs="Arial"/>
        </w:rPr>
        <w:t>:</w:t>
      </w:r>
      <w:r w:rsidRPr="009B7C49">
        <w:rPr>
          <w:rFonts w:cs="Arial"/>
        </w:rPr>
        <w:t xml:space="preserve"> </w:t>
      </w:r>
      <w:r>
        <w:rPr>
          <w:rFonts w:cs="Arial"/>
        </w:rPr>
        <w:t xml:space="preserve">                                                                                                                                                           </w:t>
      </w:r>
      <w:r w:rsidRPr="009B7C49">
        <w:rPr>
          <w:rFonts w:cs="Arial"/>
          <w:u w:val="single"/>
        </w:rPr>
        <w:t>Context:</w:t>
      </w:r>
      <w:r>
        <w:rPr>
          <w:rFonts w:cs="Arial"/>
        </w:rPr>
        <w:t xml:space="preserve"> </w:t>
      </w:r>
      <w:r w:rsidRPr="00533FCB">
        <w:rPr>
          <w:rFonts w:cs="Arial"/>
        </w:rPr>
        <w:t xml:space="preserve">Incorporated throughout the course are multiple opportunities for guided classroom and clinical interactions with patients </w:t>
      </w:r>
      <w:r>
        <w:rPr>
          <w:rFonts w:cs="Arial"/>
        </w:rPr>
        <w:t>that</w:t>
      </w:r>
      <w:r w:rsidRPr="00533FCB">
        <w:rPr>
          <w:rFonts w:cs="Arial"/>
        </w:rPr>
        <w:t xml:space="preserve"> promote the integration of practice with theory and foster clinical decision making skills in the management of a client with neurologic health conditions.</w:t>
      </w:r>
      <w:r>
        <w:rPr>
          <w:rFonts w:cs="Arial"/>
        </w:rPr>
        <w:t xml:space="preserve">                                                                               </w:t>
      </w:r>
      <w:r w:rsidRPr="009B7C49">
        <w:rPr>
          <w:rFonts w:cs="Arial"/>
          <w:u w:val="single"/>
        </w:rPr>
        <w:t>Purposes</w:t>
      </w:r>
      <w:r>
        <w:rPr>
          <w:rFonts w:cs="Arial"/>
        </w:rPr>
        <w:t xml:space="preserve">: </w:t>
      </w:r>
      <w:r w:rsidRPr="00533FCB">
        <w:rPr>
          <w:rFonts w:cs="Arial"/>
        </w:rPr>
        <w:t xml:space="preserve">(1) to help the students understand the clinical management of individuals living with multiple sclerosis (MS) </w:t>
      </w:r>
      <w:r>
        <w:rPr>
          <w:rFonts w:cs="Arial"/>
        </w:rPr>
        <w:t>through</w:t>
      </w:r>
      <w:r w:rsidRPr="00533FCB">
        <w:rPr>
          <w:rFonts w:cs="Arial"/>
        </w:rPr>
        <w:t xml:space="preserve"> direct</w:t>
      </w:r>
      <w:r>
        <w:rPr>
          <w:rFonts w:cs="Arial"/>
        </w:rPr>
        <w:t xml:space="preserve"> patient </w:t>
      </w:r>
      <w:r w:rsidRPr="00533FCB">
        <w:rPr>
          <w:rFonts w:cs="Arial"/>
        </w:rPr>
        <w:t xml:space="preserve">interaction; and, (2) to provide an opportunity for </w:t>
      </w:r>
      <w:proofErr w:type="spellStart"/>
      <w:r w:rsidRPr="00533FCB">
        <w:rPr>
          <w:rFonts w:cs="Arial"/>
        </w:rPr>
        <w:t>interpr</w:t>
      </w:r>
      <w:r>
        <w:rPr>
          <w:rFonts w:cs="Arial"/>
        </w:rPr>
        <w:t>ofessional</w:t>
      </w:r>
      <w:proofErr w:type="spellEnd"/>
      <w:r>
        <w:rPr>
          <w:rFonts w:cs="Arial"/>
        </w:rPr>
        <w:t xml:space="preserve"> </w:t>
      </w:r>
      <w:r w:rsidRPr="00533FCB">
        <w:rPr>
          <w:rFonts w:cs="Arial"/>
        </w:rPr>
        <w:t xml:space="preserve">collaboration and practice implementing skills important </w:t>
      </w:r>
      <w:r>
        <w:rPr>
          <w:rFonts w:cs="Arial"/>
        </w:rPr>
        <w:t>for managing</w:t>
      </w:r>
      <w:r w:rsidRPr="00533FCB">
        <w:rPr>
          <w:rFonts w:cs="Arial"/>
        </w:rPr>
        <w:t xml:space="preserve"> clients with chronic health conditions. </w:t>
      </w:r>
    </w:p>
    <w:p w14:paraId="4B1CFDDD" w14:textId="517A75B0" w:rsidR="00BD7219" w:rsidRPr="00533FCB" w:rsidRDefault="009B7C49" w:rsidP="00BD7219">
      <w:pPr>
        <w:spacing w:after="120"/>
        <w:rPr>
          <w:rFonts w:cs="Arial"/>
        </w:rPr>
      </w:pPr>
      <w:r>
        <w:rPr>
          <w:rFonts w:cs="Arial"/>
        </w:rPr>
        <w:t xml:space="preserve">Participating professions </w:t>
      </w:r>
      <w:r w:rsidR="00BD7219">
        <w:rPr>
          <w:rFonts w:cs="Arial"/>
        </w:rPr>
        <w:t>include</w:t>
      </w:r>
      <w:r>
        <w:rPr>
          <w:rFonts w:cs="Arial"/>
        </w:rPr>
        <w:t xml:space="preserve"> clinical psychology, nursing, physical therapy, and social work. </w:t>
      </w:r>
      <w:r w:rsidRPr="00533FCB">
        <w:rPr>
          <w:rFonts w:cs="Arial"/>
        </w:rPr>
        <w:t xml:space="preserve">For the learning </w:t>
      </w:r>
      <w:r>
        <w:rPr>
          <w:rFonts w:cs="Arial"/>
        </w:rPr>
        <w:t>experience, students conduct a</w:t>
      </w:r>
      <w:r w:rsidRPr="00533FCB">
        <w:rPr>
          <w:rFonts w:cs="Arial"/>
        </w:rPr>
        <w:t xml:space="preserve"> disciplin</w:t>
      </w:r>
      <w:r>
        <w:rPr>
          <w:rFonts w:cs="Arial"/>
        </w:rPr>
        <w:t>e-specific physical examination or evaluation</w:t>
      </w:r>
      <w:r w:rsidRPr="00533FCB">
        <w:rPr>
          <w:rFonts w:cs="Arial"/>
        </w:rPr>
        <w:t xml:space="preserve"> of a health care mentor (HCM) with MS. A HCM is an individual living with one or more health conditions, who shares their life experiences with students in a manner that simulates an actual clinical encounter.  </w:t>
      </w:r>
      <w:r w:rsidR="00BD7219" w:rsidRPr="00533FCB">
        <w:rPr>
          <w:rFonts w:cs="Arial"/>
        </w:rPr>
        <w:t>For the learning experience at Widener University, all HCMs had a confirmed diagnosis of MS and were living independently in the community but had participation restrictions due to activity limitations arising from multisystem impairments in body function and structure. For the clinical simulation, the HCM do not receive any formal training or coaching.  The lived experiences of having MS and interacting with the healthcare system adequate</w:t>
      </w:r>
      <w:r w:rsidR="00BD7219">
        <w:rPr>
          <w:rFonts w:cs="Arial"/>
        </w:rPr>
        <w:t xml:space="preserve">ly prepare </w:t>
      </w:r>
      <w:r w:rsidR="00BD7219" w:rsidRPr="00533FCB">
        <w:rPr>
          <w:rFonts w:cs="Arial"/>
        </w:rPr>
        <w:t>them for engaging with the students. The HCM are informed that they can choose what and how much information that is shared with the students.</w:t>
      </w:r>
    </w:p>
    <w:p w14:paraId="607EEA9E" w14:textId="094119DA" w:rsidR="009B7C49" w:rsidRPr="00533FCB" w:rsidRDefault="009B7C49" w:rsidP="009B7C49">
      <w:pPr>
        <w:spacing w:after="120"/>
        <w:rPr>
          <w:rFonts w:cs="Arial"/>
        </w:rPr>
      </w:pPr>
      <w:bookmarkStart w:id="0" w:name="_GoBack"/>
      <w:r w:rsidRPr="00533FCB">
        <w:rPr>
          <w:rFonts w:cs="Arial"/>
        </w:rPr>
        <w:t>The examination results gathered during the interaction</w:t>
      </w:r>
      <w:r>
        <w:rPr>
          <w:rFonts w:cs="Arial"/>
        </w:rPr>
        <w:t>s</w:t>
      </w:r>
      <w:r w:rsidRPr="00533FCB">
        <w:rPr>
          <w:rFonts w:cs="Arial"/>
        </w:rPr>
        <w:t xml:space="preserve"> with the </w:t>
      </w:r>
      <w:r>
        <w:rPr>
          <w:rFonts w:cs="Arial"/>
        </w:rPr>
        <w:t>HCM a</w:t>
      </w:r>
      <w:r w:rsidRPr="00533FCB">
        <w:rPr>
          <w:rFonts w:cs="Arial"/>
        </w:rPr>
        <w:t>re used to develop discipline-speci</w:t>
      </w:r>
      <w:r>
        <w:rPr>
          <w:rFonts w:cs="Arial"/>
        </w:rPr>
        <w:t>fic care recommendations that a</w:t>
      </w:r>
      <w:r w:rsidRPr="00533FCB">
        <w:rPr>
          <w:rFonts w:cs="Arial"/>
        </w:rPr>
        <w:t xml:space="preserve">re later shared at an </w:t>
      </w:r>
      <w:proofErr w:type="spellStart"/>
      <w:r w:rsidRPr="00533FCB">
        <w:rPr>
          <w:rFonts w:cs="Arial"/>
        </w:rPr>
        <w:t>interprofessional</w:t>
      </w:r>
      <w:proofErr w:type="spellEnd"/>
      <w:r w:rsidRPr="00533FCB">
        <w:rPr>
          <w:rFonts w:cs="Arial"/>
        </w:rPr>
        <w:t xml:space="preserve"> team conference. The </w:t>
      </w:r>
      <w:proofErr w:type="spellStart"/>
      <w:r w:rsidRPr="00533FCB">
        <w:rPr>
          <w:rFonts w:cs="Arial"/>
        </w:rPr>
        <w:t>inte</w:t>
      </w:r>
      <w:r>
        <w:rPr>
          <w:rFonts w:cs="Arial"/>
        </w:rPr>
        <w:t>rprofessional</w:t>
      </w:r>
      <w:proofErr w:type="spellEnd"/>
      <w:r>
        <w:rPr>
          <w:rFonts w:cs="Arial"/>
        </w:rPr>
        <w:t xml:space="preserve"> team conference i</w:t>
      </w:r>
      <w:r w:rsidRPr="00533FCB">
        <w:rPr>
          <w:rFonts w:cs="Arial"/>
        </w:rPr>
        <w:t xml:space="preserve">s structured to replicate what happens in actual clinical practice – discipline-specific concerns are shared and the team collaborates to determine the care recommendations, which are later shared with the patient/HCM.  </w:t>
      </w:r>
    </w:p>
    <w:bookmarkEnd w:id="0"/>
    <w:p w14:paraId="7FFBA196" w14:textId="77C8F191" w:rsidR="009B7C49" w:rsidRPr="00533FCB" w:rsidRDefault="00BD7219" w:rsidP="00BD7219">
      <w:pPr>
        <w:spacing w:after="120"/>
        <w:rPr>
          <w:rFonts w:cs="Arial"/>
        </w:rPr>
      </w:pPr>
      <w:r>
        <w:rPr>
          <w:rFonts w:cs="Arial"/>
        </w:rPr>
        <w:lastRenderedPageBreak/>
        <w:t>A</w:t>
      </w:r>
      <w:r w:rsidR="009B7C49" w:rsidRPr="00533FCB">
        <w:rPr>
          <w:rFonts w:cs="Arial"/>
        </w:rPr>
        <w:t xml:space="preserve">chievement of the learning objectives is determined based on faculty observations of student performance </w:t>
      </w:r>
      <w:proofErr w:type="gramStart"/>
      <w:r w:rsidR="009B7C49" w:rsidRPr="00533FCB">
        <w:rPr>
          <w:rFonts w:cs="Arial"/>
        </w:rPr>
        <w:t>of</w:t>
      </w:r>
      <w:proofErr w:type="gramEnd"/>
      <w:r w:rsidR="009B7C49" w:rsidRPr="00533FCB">
        <w:rPr>
          <w:rFonts w:cs="Arial"/>
        </w:rPr>
        <w:t xml:space="preserve"> cognitive, affective and psychomotor skills, </w:t>
      </w:r>
      <w:r>
        <w:rPr>
          <w:rFonts w:cs="Arial"/>
        </w:rPr>
        <w:t xml:space="preserve">and </w:t>
      </w:r>
      <w:r w:rsidR="009B7C49" w:rsidRPr="00533FCB">
        <w:rPr>
          <w:rFonts w:cs="Arial"/>
        </w:rPr>
        <w:t>documentation of the client encounter by the disciplines involved</w:t>
      </w:r>
      <w:r>
        <w:rPr>
          <w:rFonts w:cs="Arial"/>
        </w:rPr>
        <w:t>.</w:t>
      </w:r>
    </w:p>
    <w:p w14:paraId="6E1BCEEB" w14:textId="1BA356A8" w:rsidR="009B7C49" w:rsidRPr="00533FCB" w:rsidRDefault="009B7C49" w:rsidP="00BD7219">
      <w:pPr>
        <w:spacing w:after="120"/>
        <w:rPr>
          <w:rFonts w:cs="Arial"/>
        </w:rPr>
      </w:pPr>
      <w:r w:rsidRPr="00533FCB">
        <w:rPr>
          <w:rFonts w:cs="Arial"/>
        </w:rPr>
        <w:t xml:space="preserve">The curriculum and sequence of learning experiences are summarized in </w:t>
      </w:r>
      <w:r w:rsidR="00BD7219">
        <w:rPr>
          <w:rFonts w:cs="Arial"/>
        </w:rPr>
        <w:t xml:space="preserve">Appendix A, </w:t>
      </w:r>
      <w:r w:rsidRPr="00533FCB">
        <w:rPr>
          <w:rFonts w:cs="Arial"/>
        </w:rPr>
        <w:t>Tables 1 and 2</w:t>
      </w:r>
      <w:r w:rsidR="00BD7219">
        <w:rPr>
          <w:rFonts w:cs="Arial"/>
        </w:rPr>
        <w:t xml:space="preserve"> below</w:t>
      </w:r>
      <w:r w:rsidRPr="00533FCB">
        <w:rPr>
          <w:rFonts w:cs="Arial"/>
        </w:rPr>
        <w:t xml:space="preserve">. The 5 learning modules that make up the curriculum were delivered over a 2-3 week timeframe (Table 1). </w:t>
      </w:r>
    </w:p>
    <w:p w14:paraId="0DE1E38D" w14:textId="2DE352D1" w:rsidR="009B7C49" w:rsidRPr="009B7C49" w:rsidRDefault="009B7C49" w:rsidP="009B7C49">
      <w:pPr>
        <w:spacing w:after="120"/>
        <w:rPr>
          <w:rFonts w:cs="Arial"/>
        </w:rPr>
      </w:pPr>
    </w:p>
    <w:p w14:paraId="52882984" w14:textId="77777777" w:rsidR="0051682E" w:rsidRPr="00533FCB" w:rsidRDefault="0051682E" w:rsidP="00533FCB">
      <w:pPr>
        <w:pStyle w:val="ListParagraph"/>
        <w:spacing w:after="120"/>
        <w:ind w:left="360"/>
        <w:rPr>
          <w:rFonts w:cs="Arial"/>
        </w:rPr>
      </w:pPr>
    </w:p>
    <w:p w14:paraId="2B51E34E" w14:textId="3F206FCA" w:rsidR="000B0734" w:rsidRPr="00BD7219" w:rsidRDefault="0051682E" w:rsidP="00BD7219">
      <w:pPr>
        <w:spacing w:after="120"/>
        <w:rPr>
          <w:rFonts w:cs="Arial"/>
        </w:rPr>
      </w:pPr>
      <w:r w:rsidRPr="00BD7219">
        <w:rPr>
          <w:rFonts w:cs="Arial"/>
          <w:u w:val="single"/>
        </w:rPr>
        <w:t xml:space="preserve">Time for student </w:t>
      </w:r>
      <w:r w:rsidR="000B0734" w:rsidRPr="00BD7219">
        <w:rPr>
          <w:rFonts w:cs="Arial"/>
          <w:u w:val="single"/>
        </w:rPr>
        <w:t>to complete the activity</w:t>
      </w:r>
      <w:r w:rsidR="00F4284B" w:rsidRPr="00BD7219">
        <w:rPr>
          <w:rFonts w:cs="Arial"/>
          <w:u w:val="single"/>
        </w:rPr>
        <w:t>:</w:t>
      </w:r>
      <w:r w:rsidR="000B0734" w:rsidRPr="00BD7219">
        <w:rPr>
          <w:rFonts w:cs="Arial"/>
        </w:rPr>
        <w:t xml:space="preserve"> </w:t>
      </w:r>
      <w:r w:rsidR="00BD7219">
        <w:rPr>
          <w:rFonts w:cs="Arial"/>
        </w:rPr>
        <w:t xml:space="preserve">                                                                                                                                               1</w:t>
      </w:r>
      <w:proofErr w:type="gramStart"/>
      <w:r w:rsidR="00BD7219">
        <w:rPr>
          <w:rFonts w:cs="Arial"/>
        </w:rPr>
        <w:t xml:space="preserve">.  </w:t>
      </w:r>
      <w:r w:rsidR="00027567" w:rsidRPr="00BD7219">
        <w:rPr>
          <w:rFonts w:cs="Arial"/>
        </w:rPr>
        <w:t>P</w:t>
      </w:r>
      <w:r w:rsidR="000B0734" w:rsidRPr="00BD7219">
        <w:rPr>
          <w:rFonts w:cs="Arial"/>
        </w:rPr>
        <w:t>reparation</w:t>
      </w:r>
      <w:proofErr w:type="gramEnd"/>
      <w:r w:rsidR="000B0734" w:rsidRPr="00BD7219">
        <w:rPr>
          <w:rFonts w:cs="Arial"/>
        </w:rPr>
        <w:t xml:space="preserve"> for activity</w:t>
      </w:r>
      <w:r w:rsidR="00AA6A79" w:rsidRPr="00BD7219">
        <w:rPr>
          <w:rFonts w:cs="Arial"/>
        </w:rPr>
        <w:t xml:space="preserve"> </w:t>
      </w:r>
      <w:r w:rsidR="001559E2" w:rsidRPr="00BD7219">
        <w:rPr>
          <w:rFonts w:cs="Arial"/>
        </w:rPr>
        <w:t>outside of/</w:t>
      </w:r>
      <w:r w:rsidR="00AA6A79" w:rsidRPr="00BD7219">
        <w:rPr>
          <w:rFonts w:cs="Arial"/>
        </w:rPr>
        <w:t>before class</w:t>
      </w:r>
      <w:r w:rsidR="000B0734" w:rsidRPr="00BD7219">
        <w:rPr>
          <w:rFonts w:cs="Arial"/>
        </w:rPr>
        <w:t xml:space="preserve">: </w:t>
      </w:r>
      <w:r w:rsidR="00844B66" w:rsidRPr="00BD7219">
        <w:rPr>
          <w:rFonts w:cs="Arial"/>
        </w:rPr>
        <w:t>2-3 hours</w:t>
      </w:r>
      <w:r w:rsidR="00BD7219">
        <w:rPr>
          <w:rFonts w:cs="Arial"/>
        </w:rPr>
        <w:t xml:space="preserve">                                                                                                            2.  </w:t>
      </w:r>
      <w:r w:rsidR="00027567" w:rsidRPr="00BD7219">
        <w:rPr>
          <w:rFonts w:cs="Arial"/>
        </w:rPr>
        <w:t>C</w:t>
      </w:r>
      <w:r w:rsidR="000B0734" w:rsidRPr="00BD7219">
        <w:rPr>
          <w:rFonts w:cs="Arial"/>
        </w:rPr>
        <w:t xml:space="preserve">lass time completion of the activity: </w:t>
      </w:r>
      <w:r w:rsidR="00844B66" w:rsidRPr="00BD7219">
        <w:rPr>
          <w:rFonts w:cs="Arial"/>
        </w:rPr>
        <w:t>6 hours</w:t>
      </w:r>
    </w:p>
    <w:p w14:paraId="7F89EDB1" w14:textId="77777777" w:rsidR="008760AC" w:rsidRPr="00533FCB" w:rsidRDefault="008760AC" w:rsidP="00533FCB">
      <w:pPr>
        <w:pStyle w:val="ListParagraph"/>
        <w:spacing w:after="120"/>
        <w:ind w:left="360"/>
        <w:rPr>
          <w:rFonts w:cs="Arial"/>
        </w:rPr>
      </w:pPr>
    </w:p>
    <w:p w14:paraId="5F65B480" w14:textId="77777777" w:rsidR="0051682E" w:rsidRPr="00BD7219" w:rsidRDefault="0051682E" w:rsidP="00BD7219">
      <w:pPr>
        <w:spacing w:after="120"/>
        <w:rPr>
          <w:rFonts w:cs="Arial"/>
          <w:u w:val="single"/>
        </w:rPr>
      </w:pPr>
      <w:r w:rsidRPr="00BD7219">
        <w:rPr>
          <w:rFonts w:cs="Arial"/>
          <w:u w:val="single"/>
        </w:rPr>
        <w:t>Readings/other preparatory materials</w:t>
      </w:r>
      <w:r w:rsidR="000B0734" w:rsidRPr="00BD7219">
        <w:rPr>
          <w:rFonts w:cs="Arial"/>
          <w:u w:val="single"/>
        </w:rPr>
        <w:t xml:space="preserve">: </w:t>
      </w:r>
    </w:p>
    <w:p w14:paraId="22183004" w14:textId="77777777" w:rsidR="006F5B8E" w:rsidRPr="00BD7219" w:rsidRDefault="006F5B8E" w:rsidP="00BD7219">
      <w:pPr>
        <w:spacing w:after="120"/>
        <w:rPr>
          <w:rFonts w:cs="Arial"/>
          <w:u w:val="single"/>
        </w:rPr>
      </w:pPr>
      <w:r w:rsidRPr="00BD7219">
        <w:rPr>
          <w:rFonts w:cs="Arial"/>
          <w:u w:val="single"/>
        </w:rPr>
        <w:t>Student Materials</w:t>
      </w:r>
    </w:p>
    <w:p w14:paraId="381EB4A6" w14:textId="77777777" w:rsidR="005F2A2B" w:rsidRPr="00533FCB" w:rsidRDefault="00E40FE5" w:rsidP="00BD7219">
      <w:pPr>
        <w:spacing w:after="120"/>
        <w:rPr>
          <w:rFonts w:cs="Arial"/>
        </w:rPr>
      </w:pPr>
      <w:proofErr w:type="spellStart"/>
      <w:r w:rsidRPr="00533FCB">
        <w:rPr>
          <w:rFonts w:cs="Arial"/>
        </w:rPr>
        <w:t>Bethoux</w:t>
      </w:r>
      <w:proofErr w:type="spellEnd"/>
      <w:r w:rsidRPr="00533FCB">
        <w:rPr>
          <w:rFonts w:cs="Arial"/>
        </w:rPr>
        <w:t xml:space="preserve"> F, Bennett S. Evaluating Walking in Patients with Multiple Sclerosis: Which Assessment Tools Are Useful in Clinical Practice? </w:t>
      </w:r>
      <w:r w:rsidRPr="00BD7219">
        <w:rPr>
          <w:rFonts w:cs="Arial"/>
          <w:i/>
        </w:rPr>
        <w:t>International Journal of MS Care</w:t>
      </w:r>
      <w:r w:rsidRPr="00533FCB">
        <w:rPr>
          <w:rFonts w:cs="Arial"/>
        </w:rPr>
        <w:t>. 2011</w:t>
      </w:r>
      <w:proofErr w:type="gramStart"/>
      <w:r w:rsidRPr="00533FCB">
        <w:rPr>
          <w:rFonts w:cs="Arial"/>
        </w:rPr>
        <w:t>;13</w:t>
      </w:r>
      <w:proofErr w:type="gramEnd"/>
      <w:r w:rsidRPr="00533FCB">
        <w:rPr>
          <w:rFonts w:cs="Arial"/>
        </w:rPr>
        <w:t>(1):4-14.</w:t>
      </w:r>
    </w:p>
    <w:p w14:paraId="45E8A188" w14:textId="469CDD29" w:rsidR="005F2A2B" w:rsidRPr="00533FCB" w:rsidRDefault="00E40FE5" w:rsidP="00BD7219">
      <w:pPr>
        <w:spacing w:after="120"/>
        <w:rPr>
          <w:rFonts w:cs="Arial"/>
        </w:rPr>
      </w:pPr>
      <w:proofErr w:type="spellStart"/>
      <w:r w:rsidRPr="00533FCB">
        <w:rPr>
          <w:rFonts w:cs="Arial"/>
        </w:rPr>
        <w:t>Kieseier</w:t>
      </w:r>
      <w:proofErr w:type="spellEnd"/>
      <w:r w:rsidRPr="00533FCB">
        <w:rPr>
          <w:rFonts w:cs="Arial"/>
        </w:rPr>
        <w:t xml:space="preserve"> BC, </w:t>
      </w:r>
      <w:proofErr w:type="spellStart"/>
      <w:r w:rsidRPr="00533FCB">
        <w:rPr>
          <w:rFonts w:cs="Arial"/>
        </w:rPr>
        <w:t>Pozzilli</w:t>
      </w:r>
      <w:proofErr w:type="spellEnd"/>
      <w:r w:rsidRPr="00533FCB">
        <w:rPr>
          <w:rFonts w:cs="Arial"/>
        </w:rPr>
        <w:t xml:space="preserve"> C: Assessing walking disability in multiple sclerosis. </w:t>
      </w:r>
      <w:r w:rsidRPr="00BD7219">
        <w:rPr>
          <w:rFonts w:cs="Arial"/>
          <w:i/>
        </w:rPr>
        <w:t>Mult</w:t>
      </w:r>
      <w:r w:rsidR="00D331CA" w:rsidRPr="00BD7219">
        <w:rPr>
          <w:rFonts w:cs="Arial"/>
          <w:i/>
        </w:rPr>
        <w:t>iple</w:t>
      </w:r>
      <w:r w:rsidRPr="00BD7219">
        <w:rPr>
          <w:rFonts w:cs="Arial"/>
          <w:i/>
        </w:rPr>
        <w:t xml:space="preserve"> Scler</w:t>
      </w:r>
      <w:r w:rsidR="00D331CA" w:rsidRPr="00BD7219">
        <w:rPr>
          <w:rFonts w:cs="Arial"/>
          <w:i/>
        </w:rPr>
        <w:t>osis</w:t>
      </w:r>
      <w:r w:rsidR="00D331CA" w:rsidRPr="00533FCB">
        <w:rPr>
          <w:rFonts w:cs="Arial"/>
        </w:rPr>
        <w:t>.</w:t>
      </w:r>
      <w:r w:rsidRPr="00533FCB">
        <w:rPr>
          <w:rFonts w:cs="Arial"/>
        </w:rPr>
        <w:t xml:space="preserve"> 2012</w:t>
      </w:r>
      <w:proofErr w:type="gramStart"/>
      <w:r w:rsidR="00D331CA" w:rsidRPr="00533FCB">
        <w:rPr>
          <w:rFonts w:cs="Arial"/>
        </w:rPr>
        <w:t>;</w:t>
      </w:r>
      <w:r w:rsidRPr="00533FCB">
        <w:rPr>
          <w:rFonts w:cs="Arial"/>
        </w:rPr>
        <w:t>18:914</w:t>
      </w:r>
      <w:proofErr w:type="gramEnd"/>
      <w:r w:rsidRPr="00533FCB">
        <w:rPr>
          <w:rFonts w:cs="Arial"/>
        </w:rPr>
        <w:t>-924.</w:t>
      </w:r>
    </w:p>
    <w:p w14:paraId="4BAD72EA" w14:textId="77777777" w:rsidR="005F2A2B" w:rsidRPr="00533FCB" w:rsidRDefault="00717CD9" w:rsidP="00BD7219">
      <w:pPr>
        <w:spacing w:after="120"/>
        <w:rPr>
          <w:rFonts w:cs="Arial"/>
        </w:rPr>
      </w:pPr>
      <w:r w:rsidRPr="00533FCB">
        <w:rPr>
          <w:rFonts w:cs="Arial"/>
        </w:rPr>
        <w:t xml:space="preserve">National MS </w:t>
      </w:r>
      <w:r w:rsidR="00881155" w:rsidRPr="00533FCB">
        <w:rPr>
          <w:rFonts w:cs="Arial"/>
        </w:rPr>
        <w:t>Society</w:t>
      </w:r>
      <w:r w:rsidRPr="00533FCB">
        <w:rPr>
          <w:rFonts w:cs="Arial"/>
        </w:rPr>
        <w:t xml:space="preserve"> Professional Resource Center. Available at </w:t>
      </w:r>
      <w:hyperlink r:id="rId9" w:history="1">
        <w:r w:rsidRPr="00533FCB">
          <w:rPr>
            <w:rStyle w:val="Hyperlink"/>
            <w:rFonts w:cs="Arial"/>
          </w:rPr>
          <w:t>http://www.nationalmssociety.org/For-Professionals/Professional-Resource-Center</w:t>
        </w:r>
      </w:hyperlink>
      <w:r w:rsidRPr="00533FCB">
        <w:rPr>
          <w:rFonts w:cs="Arial"/>
        </w:rPr>
        <w:t xml:space="preserve"> </w:t>
      </w:r>
    </w:p>
    <w:p w14:paraId="0F6DFF45" w14:textId="77777777" w:rsidR="005F2A2B" w:rsidRPr="00533FCB" w:rsidRDefault="003D44A5" w:rsidP="00BD7219">
      <w:pPr>
        <w:spacing w:after="120"/>
        <w:rPr>
          <w:rFonts w:cs="Arial"/>
        </w:rPr>
      </w:pPr>
      <w:r w:rsidRPr="00533FCB">
        <w:rPr>
          <w:rFonts w:cs="Arial"/>
        </w:rPr>
        <w:t xml:space="preserve">Neurology Section Multiple Sclerosis Outcome Measures </w:t>
      </w:r>
      <w:r w:rsidR="00130056" w:rsidRPr="00533FCB">
        <w:rPr>
          <w:rFonts w:cs="Arial"/>
        </w:rPr>
        <w:t xml:space="preserve">Taskforce </w:t>
      </w:r>
      <w:r w:rsidRPr="00533FCB">
        <w:rPr>
          <w:rFonts w:cs="Arial"/>
        </w:rPr>
        <w:t xml:space="preserve">Recommendations.  Available at </w:t>
      </w:r>
      <w:hyperlink r:id="rId10" w:history="1">
        <w:r w:rsidRPr="00533FCB">
          <w:rPr>
            <w:rStyle w:val="Hyperlink"/>
            <w:rFonts w:cs="Arial"/>
          </w:rPr>
          <w:t>http://www.neuropt.org/professional-resources/neurology-section-outcome-measures-recommendations/multiple-sclerosis</w:t>
        </w:r>
      </w:hyperlink>
      <w:r w:rsidRPr="00533FCB">
        <w:rPr>
          <w:rFonts w:cs="Arial"/>
        </w:rPr>
        <w:t xml:space="preserve"> </w:t>
      </w:r>
    </w:p>
    <w:p w14:paraId="7050390C" w14:textId="02319CFC" w:rsidR="005F2A2B" w:rsidRPr="00533FCB" w:rsidRDefault="00AE5A8B" w:rsidP="00BD7219">
      <w:pPr>
        <w:spacing w:after="120"/>
        <w:rPr>
          <w:rFonts w:cs="Arial"/>
        </w:rPr>
      </w:pPr>
      <w:r w:rsidRPr="00533FCB">
        <w:rPr>
          <w:rFonts w:cs="Arial"/>
        </w:rPr>
        <w:t>Potte</w:t>
      </w:r>
      <w:r w:rsidR="00F67935" w:rsidRPr="00533FCB">
        <w:rPr>
          <w:rFonts w:cs="Arial"/>
        </w:rPr>
        <w:t xml:space="preserve">r K, Fulk GD, Salem Y, Yasser </w:t>
      </w:r>
      <w:r w:rsidRPr="00533FCB">
        <w:rPr>
          <w:rFonts w:cs="Arial"/>
        </w:rPr>
        <w:t xml:space="preserve">PT. Outcome measures in neurological physical therapy practice: Part I. Making sound decisions. </w:t>
      </w:r>
      <w:r w:rsidRPr="00BD7219">
        <w:rPr>
          <w:rFonts w:cs="Arial"/>
          <w:i/>
        </w:rPr>
        <w:t>J</w:t>
      </w:r>
      <w:r w:rsidR="00D331CA" w:rsidRPr="00BD7219">
        <w:rPr>
          <w:rFonts w:cs="Arial"/>
          <w:i/>
        </w:rPr>
        <w:t>ournal of</w:t>
      </w:r>
      <w:r w:rsidRPr="00BD7219">
        <w:rPr>
          <w:rFonts w:cs="Arial"/>
          <w:i/>
        </w:rPr>
        <w:t xml:space="preserve"> Neurol</w:t>
      </w:r>
      <w:r w:rsidR="00D331CA" w:rsidRPr="00BD7219">
        <w:rPr>
          <w:rFonts w:cs="Arial"/>
          <w:i/>
        </w:rPr>
        <w:t>ogical</w:t>
      </w:r>
      <w:r w:rsidRPr="00BD7219">
        <w:rPr>
          <w:rFonts w:cs="Arial"/>
          <w:i/>
        </w:rPr>
        <w:t xml:space="preserve"> Phys</w:t>
      </w:r>
      <w:r w:rsidR="00D331CA" w:rsidRPr="00BD7219">
        <w:rPr>
          <w:rFonts w:cs="Arial"/>
          <w:i/>
        </w:rPr>
        <w:t>ical</w:t>
      </w:r>
      <w:r w:rsidRPr="00BD7219">
        <w:rPr>
          <w:rFonts w:cs="Arial"/>
          <w:i/>
        </w:rPr>
        <w:t xml:space="preserve"> Ther</w:t>
      </w:r>
      <w:r w:rsidR="00D331CA" w:rsidRPr="00BD7219">
        <w:rPr>
          <w:rFonts w:cs="Arial"/>
          <w:i/>
        </w:rPr>
        <w:t>apy</w:t>
      </w:r>
      <w:r w:rsidRPr="00533FCB">
        <w:rPr>
          <w:rFonts w:cs="Arial"/>
        </w:rPr>
        <w:t>. 2011</w:t>
      </w:r>
      <w:proofErr w:type="gramStart"/>
      <w:r w:rsidRPr="00533FCB">
        <w:rPr>
          <w:rFonts w:cs="Arial"/>
        </w:rPr>
        <w:t>;35</w:t>
      </w:r>
      <w:proofErr w:type="gramEnd"/>
      <w:r w:rsidRPr="00533FCB">
        <w:rPr>
          <w:rFonts w:cs="Arial"/>
        </w:rPr>
        <w:t>(2):57-64.</w:t>
      </w:r>
    </w:p>
    <w:p w14:paraId="71421B31" w14:textId="6C6E3D51" w:rsidR="005F2A2B" w:rsidRPr="00533FCB" w:rsidRDefault="00D44B22" w:rsidP="00BD7219">
      <w:pPr>
        <w:spacing w:after="120"/>
        <w:rPr>
          <w:rFonts w:cs="Arial"/>
        </w:rPr>
      </w:pPr>
      <w:r w:rsidRPr="00533FCB">
        <w:rPr>
          <w:rFonts w:cs="Arial"/>
        </w:rPr>
        <w:t xml:space="preserve">Scheets PL, </w:t>
      </w:r>
      <w:proofErr w:type="spellStart"/>
      <w:r w:rsidRPr="00533FCB">
        <w:rPr>
          <w:rFonts w:cs="Arial"/>
        </w:rPr>
        <w:t>Sahrmann</w:t>
      </w:r>
      <w:proofErr w:type="spellEnd"/>
      <w:r w:rsidRPr="00533FCB">
        <w:rPr>
          <w:rFonts w:cs="Arial"/>
        </w:rPr>
        <w:t xml:space="preserve"> SA, Norton BJ. Diagnosis for physical therapy for patients with neuromuscular conditions. </w:t>
      </w:r>
      <w:r w:rsidR="00D331CA" w:rsidRPr="00BD7219">
        <w:rPr>
          <w:rFonts w:cs="Arial"/>
          <w:i/>
        </w:rPr>
        <w:t>Journal of Neurological Physical Therapy</w:t>
      </w:r>
      <w:r w:rsidRPr="00533FCB">
        <w:rPr>
          <w:rFonts w:cs="Arial"/>
        </w:rPr>
        <w:t>. 1999</w:t>
      </w:r>
      <w:proofErr w:type="gramStart"/>
      <w:r w:rsidRPr="00533FCB">
        <w:rPr>
          <w:rFonts w:cs="Arial"/>
        </w:rPr>
        <w:t>;23:158</w:t>
      </w:r>
      <w:proofErr w:type="gramEnd"/>
      <w:r w:rsidRPr="00533FCB">
        <w:rPr>
          <w:rFonts w:cs="Arial"/>
        </w:rPr>
        <w:t>-168.</w:t>
      </w:r>
    </w:p>
    <w:p w14:paraId="7ADB107B" w14:textId="101A1699" w:rsidR="00147930" w:rsidRPr="00533FCB" w:rsidRDefault="00130056" w:rsidP="00BD7219">
      <w:pPr>
        <w:spacing w:after="120"/>
        <w:rPr>
          <w:rFonts w:cs="Arial"/>
        </w:rPr>
      </w:pPr>
      <w:r w:rsidRPr="00533FCB">
        <w:rPr>
          <w:rFonts w:cs="Arial"/>
        </w:rPr>
        <w:t>Widener GL. Chapter 19 Multiple Sclerosis.</w:t>
      </w:r>
      <w:r w:rsidR="00147930" w:rsidRPr="00533FCB">
        <w:rPr>
          <w:rFonts w:cs="Arial"/>
        </w:rPr>
        <w:t xml:space="preserve"> In, </w:t>
      </w:r>
      <w:proofErr w:type="spellStart"/>
      <w:r w:rsidR="00147930" w:rsidRPr="00533FCB">
        <w:rPr>
          <w:rFonts w:cs="Arial"/>
        </w:rPr>
        <w:t>Umphred</w:t>
      </w:r>
      <w:proofErr w:type="spellEnd"/>
      <w:r w:rsidR="00147930" w:rsidRPr="00533FCB">
        <w:rPr>
          <w:rFonts w:cs="Arial"/>
        </w:rPr>
        <w:t xml:space="preserve"> DA</w:t>
      </w:r>
      <w:r w:rsidRPr="00533FCB">
        <w:rPr>
          <w:rFonts w:cs="Arial"/>
        </w:rPr>
        <w:t xml:space="preserve">, Lazaro RT, </w:t>
      </w:r>
      <w:proofErr w:type="gramStart"/>
      <w:r w:rsidRPr="00533FCB">
        <w:rPr>
          <w:rFonts w:cs="Arial"/>
        </w:rPr>
        <w:t>Roller</w:t>
      </w:r>
      <w:proofErr w:type="gramEnd"/>
      <w:r w:rsidRPr="00533FCB">
        <w:rPr>
          <w:rFonts w:cs="Arial"/>
        </w:rPr>
        <w:t xml:space="preserve"> ML, Burton GU, </w:t>
      </w:r>
      <w:proofErr w:type="spellStart"/>
      <w:r w:rsidRPr="00533FCB">
        <w:rPr>
          <w:rFonts w:cs="Arial"/>
        </w:rPr>
        <w:t>Eds</w:t>
      </w:r>
      <w:proofErr w:type="spellEnd"/>
      <w:r w:rsidR="00147930" w:rsidRPr="00533FCB">
        <w:rPr>
          <w:rFonts w:cs="Arial"/>
        </w:rPr>
        <w:t xml:space="preserve">: </w:t>
      </w:r>
      <w:proofErr w:type="spellStart"/>
      <w:r w:rsidR="00147930" w:rsidRPr="00BD7219">
        <w:rPr>
          <w:rFonts w:cs="Arial"/>
          <w:u w:val="single"/>
        </w:rPr>
        <w:t>Umphred's</w:t>
      </w:r>
      <w:proofErr w:type="spellEnd"/>
      <w:r w:rsidR="00147930" w:rsidRPr="00BD7219">
        <w:rPr>
          <w:rFonts w:cs="Arial"/>
          <w:u w:val="single"/>
        </w:rPr>
        <w:t xml:space="preserve"> </w:t>
      </w:r>
      <w:r w:rsidRPr="00BD7219">
        <w:rPr>
          <w:rFonts w:cs="Arial"/>
          <w:u w:val="single"/>
        </w:rPr>
        <w:t>N</w:t>
      </w:r>
      <w:r w:rsidR="00147930" w:rsidRPr="00BD7219">
        <w:rPr>
          <w:rFonts w:cs="Arial"/>
          <w:u w:val="single"/>
        </w:rPr>
        <w:t xml:space="preserve">eurological </w:t>
      </w:r>
      <w:r w:rsidRPr="00BD7219">
        <w:rPr>
          <w:rFonts w:cs="Arial"/>
          <w:u w:val="single"/>
        </w:rPr>
        <w:t>R</w:t>
      </w:r>
      <w:r w:rsidR="00147930" w:rsidRPr="00BD7219">
        <w:rPr>
          <w:rFonts w:cs="Arial"/>
          <w:u w:val="single"/>
        </w:rPr>
        <w:t>ehabilitation</w:t>
      </w:r>
      <w:r w:rsidR="00147930" w:rsidRPr="00533FCB">
        <w:rPr>
          <w:rFonts w:cs="Arial"/>
        </w:rPr>
        <w:t xml:space="preserve">. 6th </w:t>
      </w:r>
      <w:r w:rsidRPr="00533FCB">
        <w:rPr>
          <w:rFonts w:cs="Arial"/>
        </w:rPr>
        <w:t>Ed</w:t>
      </w:r>
      <w:r w:rsidR="00147930" w:rsidRPr="00533FCB">
        <w:rPr>
          <w:rFonts w:cs="Arial"/>
        </w:rPr>
        <w:t>. St. Louis, Mo.: Elsevier/Mosby; 2013.</w:t>
      </w:r>
    </w:p>
    <w:p w14:paraId="32C61377" w14:textId="77777777" w:rsidR="00E577C6" w:rsidRPr="00533FCB" w:rsidRDefault="00E577C6" w:rsidP="00BD7219">
      <w:pPr>
        <w:spacing w:after="120"/>
        <w:rPr>
          <w:rFonts w:cs="Arial"/>
        </w:rPr>
      </w:pPr>
    </w:p>
    <w:p w14:paraId="5BB485DC" w14:textId="4CC1E1FB" w:rsidR="006F5B8E" w:rsidRPr="00BD7219" w:rsidRDefault="006F5B8E" w:rsidP="00BD7219">
      <w:pPr>
        <w:spacing w:after="120"/>
        <w:rPr>
          <w:rFonts w:cs="Arial"/>
          <w:u w:val="single"/>
        </w:rPr>
      </w:pPr>
      <w:r w:rsidRPr="00BD7219">
        <w:rPr>
          <w:rFonts w:cs="Arial"/>
          <w:u w:val="single"/>
        </w:rPr>
        <w:t>Faculty Resources</w:t>
      </w:r>
    </w:p>
    <w:p w14:paraId="74B32A36" w14:textId="0ED9C2C5" w:rsidR="005F2A2B" w:rsidRPr="00533FCB" w:rsidRDefault="007122E1" w:rsidP="00BD7219">
      <w:pPr>
        <w:spacing w:after="120"/>
        <w:rPr>
          <w:rFonts w:cs="Arial"/>
        </w:rPr>
      </w:pPr>
      <w:r w:rsidRPr="00533FCB">
        <w:rPr>
          <w:rFonts w:cs="Arial"/>
        </w:rPr>
        <w:t xml:space="preserve">Bainbridge L, </w:t>
      </w:r>
      <w:proofErr w:type="spellStart"/>
      <w:r w:rsidRPr="00533FCB">
        <w:rPr>
          <w:rFonts w:cs="Arial"/>
        </w:rPr>
        <w:t>Nasmith</w:t>
      </w:r>
      <w:proofErr w:type="spellEnd"/>
      <w:r w:rsidRPr="00533FCB">
        <w:rPr>
          <w:rFonts w:cs="Arial"/>
        </w:rPr>
        <w:t xml:space="preserve"> L, Orchard C, Wood V: Competencies for </w:t>
      </w:r>
      <w:proofErr w:type="spellStart"/>
      <w:r w:rsidRPr="00533FCB">
        <w:rPr>
          <w:rFonts w:cs="Arial"/>
        </w:rPr>
        <w:t>interprofessional</w:t>
      </w:r>
      <w:proofErr w:type="spellEnd"/>
      <w:r w:rsidRPr="00533FCB">
        <w:rPr>
          <w:rFonts w:cs="Arial"/>
        </w:rPr>
        <w:t xml:space="preserve"> collaboration. </w:t>
      </w:r>
      <w:r w:rsidRPr="00BD7219">
        <w:rPr>
          <w:rFonts w:cs="Arial"/>
          <w:i/>
        </w:rPr>
        <w:t>Journal of Physical Therapy Education</w:t>
      </w:r>
      <w:r w:rsidR="00362F3C" w:rsidRPr="00533FCB">
        <w:rPr>
          <w:rFonts w:cs="Arial"/>
        </w:rPr>
        <w:t>.</w:t>
      </w:r>
      <w:r w:rsidR="00BD7219">
        <w:rPr>
          <w:rFonts w:cs="Arial"/>
        </w:rPr>
        <w:t xml:space="preserve"> 2010</w:t>
      </w:r>
      <w:proofErr w:type="gramStart"/>
      <w:r w:rsidR="00BD7219">
        <w:rPr>
          <w:rFonts w:cs="Arial"/>
        </w:rPr>
        <w:t>;</w:t>
      </w:r>
      <w:r w:rsidRPr="00533FCB">
        <w:rPr>
          <w:rFonts w:cs="Arial"/>
        </w:rPr>
        <w:t>24:6</w:t>
      </w:r>
      <w:proofErr w:type="gramEnd"/>
      <w:r w:rsidRPr="00533FCB">
        <w:rPr>
          <w:rFonts w:cs="Arial"/>
        </w:rPr>
        <w:t>-11.</w:t>
      </w:r>
    </w:p>
    <w:p w14:paraId="34E108E3" w14:textId="77777777" w:rsidR="005F2A2B" w:rsidRPr="00533FCB" w:rsidRDefault="00F67935" w:rsidP="00BD7219">
      <w:pPr>
        <w:spacing w:after="120"/>
        <w:rPr>
          <w:rFonts w:cs="Arial"/>
        </w:rPr>
      </w:pPr>
      <w:proofErr w:type="spellStart"/>
      <w:r w:rsidRPr="00533FCB">
        <w:rPr>
          <w:rFonts w:cs="Arial"/>
        </w:rPr>
        <w:t>Interprofessional</w:t>
      </w:r>
      <w:proofErr w:type="spellEnd"/>
      <w:r w:rsidRPr="00533FCB">
        <w:rPr>
          <w:rFonts w:cs="Arial"/>
        </w:rPr>
        <w:t xml:space="preserve"> Education Collaborative Expert Panel: Core Competencies for </w:t>
      </w:r>
      <w:proofErr w:type="spellStart"/>
      <w:r w:rsidRPr="00533FCB">
        <w:rPr>
          <w:rFonts w:cs="Arial"/>
        </w:rPr>
        <w:t>Interprofessional</w:t>
      </w:r>
      <w:proofErr w:type="spellEnd"/>
      <w:r w:rsidRPr="00533FCB">
        <w:rPr>
          <w:rFonts w:cs="Arial"/>
        </w:rPr>
        <w:t xml:space="preserve"> Collaborative Practice: Report of an Expert Panel. Washington, DC: </w:t>
      </w:r>
      <w:proofErr w:type="spellStart"/>
      <w:r w:rsidRPr="00533FCB">
        <w:rPr>
          <w:rFonts w:cs="Arial"/>
        </w:rPr>
        <w:t>Interprofessional</w:t>
      </w:r>
      <w:proofErr w:type="spellEnd"/>
      <w:r w:rsidRPr="00533FCB">
        <w:rPr>
          <w:rFonts w:cs="Arial"/>
        </w:rPr>
        <w:t xml:space="preserve"> Education Collaborative; 2011. Available at, </w:t>
      </w:r>
      <w:hyperlink r:id="rId11" w:history="1">
        <w:r w:rsidRPr="00533FCB">
          <w:rPr>
            <w:rStyle w:val="Hyperlink"/>
            <w:rFonts w:cs="Arial"/>
          </w:rPr>
          <w:t>http://www.aacn.nche.edu/education-resources/ipecreport.pdf</w:t>
        </w:r>
      </w:hyperlink>
      <w:r w:rsidRPr="00533FCB">
        <w:rPr>
          <w:rFonts w:cs="Arial"/>
        </w:rPr>
        <w:t xml:space="preserve"> </w:t>
      </w:r>
    </w:p>
    <w:p w14:paraId="07A4F5E7" w14:textId="6A397137" w:rsidR="00D618FF" w:rsidRPr="00533FCB" w:rsidRDefault="00D618FF" w:rsidP="00BD7219">
      <w:pPr>
        <w:spacing w:after="120"/>
        <w:rPr>
          <w:rFonts w:cs="Arial"/>
        </w:rPr>
      </w:pPr>
      <w:proofErr w:type="spellStart"/>
      <w:r w:rsidRPr="00533FCB">
        <w:rPr>
          <w:rFonts w:cs="Arial"/>
        </w:rPr>
        <w:t>Pardue</w:t>
      </w:r>
      <w:proofErr w:type="spellEnd"/>
      <w:r w:rsidRPr="00533FCB">
        <w:rPr>
          <w:rFonts w:cs="Arial"/>
        </w:rPr>
        <w:t xml:space="preserve"> KT. A framework for the design, implementation, and evaluation of </w:t>
      </w:r>
      <w:proofErr w:type="spellStart"/>
      <w:r w:rsidRPr="00533FCB">
        <w:rPr>
          <w:rFonts w:cs="Arial"/>
        </w:rPr>
        <w:t>interprofessional</w:t>
      </w:r>
      <w:proofErr w:type="spellEnd"/>
      <w:r w:rsidRPr="00533FCB">
        <w:rPr>
          <w:rFonts w:cs="Arial"/>
        </w:rPr>
        <w:t xml:space="preserve"> education.</w:t>
      </w:r>
      <w:r w:rsidR="00BD7219">
        <w:rPr>
          <w:rFonts w:cs="Arial"/>
        </w:rPr>
        <w:t xml:space="preserve"> </w:t>
      </w:r>
      <w:r w:rsidR="00BD7219" w:rsidRPr="00BD7219">
        <w:rPr>
          <w:rFonts w:cs="Arial"/>
          <w:i/>
        </w:rPr>
        <w:t>Nurse Educator</w:t>
      </w:r>
      <w:r w:rsidR="00BD7219">
        <w:rPr>
          <w:rFonts w:cs="Arial"/>
        </w:rPr>
        <w:t>. 2015</w:t>
      </w:r>
      <w:proofErr w:type="gramStart"/>
      <w:r w:rsidR="00BD7219">
        <w:rPr>
          <w:rFonts w:cs="Arial"/>
        </w:rPr>
        <w:t>;</w:t>
      </w:r>
      <w:r w:rsidR="00362F3C" w:rsidRPr="00533FCB">
        <w:rPr>
          <w:rFonts w:cs="Arial"/>
        </w:rPr>
        <w:t>40</w:t>
      </w:r>
      <w:proofErr w:type="gramEnd"/>
      <w:r w:rsidR="00362F3C" w:rsidRPr="00533FCB">
        <w:rPr>
          <w:rFonts w:cs="Arial"/>
        </w:rPr>
        <w:t>(1):10-15.</w:t>
      </w:r>
    </w:p>
    <w:p w14:paraId="6A6FC822" w14:textId="08C67527" w:rsidR="00D618FF" w:rsidRPr="00533FCB" w:rsidRDefault="00D618FF" w:rsidP="00BD7219">
      <w:pPr>
        <w:spacing w:after="120"/>
        <w:rPr>
          <w:rFonts w:cs="Arial"/>
        </w:rPr>
      </w:pPr>
    </w:p>
    <w:p w14:paraId="2169F6A4" w14:textId="22809200" w:rsidR="00881155" w:rsidRPr="00533FCB" w:rsidRDefault="005F2A2B" w:rsidP="00BD7219">
      <w:pPr>
        <w:spacing w:after="120"/>
        <w:rPr>
          <w:rFonts w:cs="Arial"/>
        </w:rPr>
      </w:pPr>
      <w:r w:rsidRPr="00533FCB">
        <w:rPr>
          <w:rFonts w:cs="Arial"/>
        </w:rPr>
        <w:t>Neurology Section of the American Physical Therapy Association.  Neurologic entry-level curricular content integrated with a normative model of physical therapists professional educ</w:t>
      </w:r>
      <w:r w:rsidR="00E923D4" w:rsidRPr="00533FCB">
        <w:rPr>
          <w:rFonts w:cs="Arial"/>
        </w:rPr>
        <w:t>a</w:t>
      </w:r>
      <w:r w:rsidRPr="00533FCB">
        <w:rPr>
          <w:rFonts w:cs="Arial"/>
        </w:rPr>
        <w:t xml:space="preserve">tion.  Available at, </w:t>
      </w:r>
      <w:hyperlink r:id="rId12" w:history="1">
        <w:r w:rsidRPr="00533FCB">
          <w:rPr>
            <w:rStyle w:val="Hyperlink"/>
            <w:rFonts w:cs="Arial"/>
          </w:rPr>
          <w:t>http://www.neuropt.org/docs/default-document-library/2011_neurologic_entry-level_curriculum_guidelines7E676FEAFF3D.pdf?sfvrsn=4</w:t>
        </w:r>
      </w:hyperlink>
      <w:r w:rsidRPr="00533FCB">
        <w:rPr>
          <w:rFonts w:cs="Arial"/>
        </w:rPr>
        <w:t xml:space="preserve"> </w:t>
      </w:r>
    </w:p>
    <w:p w14:paraId="34696FD1" w14:textId="77777777" w:rsidR="00D618FF" w:rsidRPr="00533FCB" w:rsidRDefault="00D618FF" w:rsidP="00533FCB">
      <w:pPr>
        <w:spacing w:after="120"/>
        <w:ind w:left="360"/>
        <w:rPr>
          <w:rFonts w:cs="Arial"/>
        </w:rPr>
      </w:pPr>
    </w:p>
    <w:p w14:paraId="4BF37D1E" w14:textId="77777777" w:rsidR="00D618FF" w:rsidRPr="00533FCB" w:rsidRDefault="00D618FF" w:rsidP="00533FCB">
      <w:pPr>
        <w:spacing w:after="120"/>
        <w:ind w:left="360"/>
        <w:rPr>
          <w:rFonts w:cs="Arial"/>
        </w:rPr>
      </w:pPr>
    </w:p>
    <w:p w14:paraId="134D06AB" w14:textId="77777777" w:rsidR="0012591B" w:rsidRDefault="0051682E" w:rsidP="0012591B">
      <w:pPr>
        <w:pStyle w:val="ListParagraph"/>
        <w:spacing w:after="120"/>
        <w:ind w:left="0"/>
        <w:rPr>
          <w:rFonts w:cs="Arial"/>
        </w:rPr>
      </w:pPr>
      <w:r w:rsidRPr="0012591B">
        <w:rPr>
          <w:rFonts w:cs="Arial"/>
          <w:u w:val="single"/>
        </w:rPr>
        <w:t>Learning Objectives</w:t>
      </w:r>
      <w:r w:rsidR="000B0734" w:rsidRPr="0012591B">
        <w:rPr>
          <w:rFonts w:cs="Arial"/>
          <w:u w:val="single"/>
        </w:rPr>
        <w:t xml:space="preserve">: </w:t>
      </w:r>
      <w:r w:rsidR="0012591B" w:rsidRPr="0012591B">
        <w:rPr>
          <w:rFonts w:cs="Arial"/>
          <w:u w:val="single"/>
        </w:rPr>
        <w:t xml:space="preserve">                                                                                                                                                                                  </w:t>
      </w:r>
      <w:r w:rsidR="0012591B">
        <w:rPr>
          <w:rFonts w:cs="Arial"/>
        </w:rPr>
        <w:t>1</w:t>
      </w:r>
      <w:proofErr w:type="gramStart"/>
      <w:r w:rsidR="0012591B">
        <w:rPr>
          <w:rFonts w:cs="Arial"/>
        </w:rPr>
        <w:t>.  Describe</w:t>
      </w:r>
      <w:proofErr w:type="gramEnd"/>
      <w:r w:rsidR="00D44B22" w:rsidRPr="00533FCB">
        <w:rPr>
          <w:rFonts w:cs="Arial"/>
        </w:rPr>
        <w:t xml:space="preserve"> the influence of social and cultural issues that affect patient reporting, behaviors, and actions and the achievement of goals and outcomes.</w:t>
      </w:r>
      <w:r w:rsidR="0012591B">
        <w:rPr>
          <w:rFonts w:cs="Arial"/>
        </w:rPr>
        <w:t xml:space="preserve">                                                                                                                                                  2.  </w:t>
      </w:r>
      <w:r w:rsidR="00D44B22" w:rsidRPr="00533FCB">
        <w:rPr>
          <w:rFonts w:cs="Arial"/>
        </w:rPr>
        <w:t>Describe and assess the contribution of physical, cognitive, and psychosocial factors in fostering body function and structure impairments, activity limitations and participation restrictions for individuals experiencing neuromuscular dysfunction.</w:t>
      </w:r>
      <w:r w:rsidR="0012591B">
        <w:rPr>
          <w:rFonts w:cs="Arial"/>
        </w:rPr>
        <w:t xml:space="preserve">                                                                                                                                             3.  </w:t>
      </w:r>
      <w:r w:rsidR="00D44B22" w:rsidRPr="00533FCB">
        <w:rPr>
          <w:rFonts w:cs="Arial"/>
        </w:rPr>
        <w:t>Formulate and implement an examination and intervention strategy for individuals experiencing body function and structure impairments, activity limitations and participation restrictions that are due to health conditions affecting the neuromuscular system.</w:t>
      </w:r>
      <w:r w:rsidR="0012591B">
        <w:rPr>
          <w:rFonts w:cs="Arial"/>
        </w:rPr>
        <w:t xml:space="preserve">                                                                                                                                   4.  </w:t>
      </w:r>
      <w:r w:rsidR="006F5B8E" w:rsidRPr="00533FCB">
        <w:rPr>
          <w:rFonts w:cs="Arial"/>
        </w:rPr>
        <w:t xml:space="preserve">Describe the roles and responsibilities of </w:t>
      </w:r>
      <w:proofErr w:type="spellStart"/>
      <w:r w:rsidR="006F5B8E" w:rsidRPr="00533FCB">
        <w:rPr>
          <w:rFonts w:cs="Arial"/>
        </w:rPr>
        <w:t>interprofessional</w:t>
      </w:r>
      <w:proofErr w:type="spellEnd"/>
      <w:r w:rsidR="006F5B8E" w:rsidRPr="00533FCB">
        <w:rPr>
          <w:rFonts w:cs="Arial"/>
        </w:rPr>
        <w:t xml:space="preserve"> teams in providing patient/client-centered services. </w:t>
      </w:r>
      <w:r w:rsidR="0012591B">
        <w:rPr>
          <w:rFonts w:cs="Arial"/>
        </w:rPr>
        <w:t xml:space="preserve">                                                                                                                                                                                                         5.  Explain</w:t>
      </w:r>
      <w:r w:rsidR="006F5B8E" w:rsidRPr="00533FCB">
        <w:rPr>
          <w:rFonts w:cs="Arial"/>
        </w:rPr>
        <w:t xml:space="preserve"> how one’s own discipline contributes to effective communication, conflict resolution and positive </w:t>
      </w:r>
      <w:proofErr w:type="spellStart"/>
      <w:r w:rsidR="006F5B8E" w:rsidRPr="00533FCB">
        <w:rPr>
          <w:rFonts w:cs="Arial"/>
        </w:rPr>
        <w:t>interprofessional</w:t>
      </w:r>
      <w:proofErr w:type="spellEnd"/>
      <w:r w:rsidR="006F5B8E" w:rsidRPr="00533FCB">
        <w:rPr>
          <w:rFonts w:cs="Arial"/>
        </w:rPr>
        <w:t xml:space="preserve"> working relationships. </w:t>
      </w:r>
      <w:r w:rsidR="0012591B">
        <w:rPr>
          <w:rFonts w:cs="Arial"/>
        </w:rPr>
        <w:t xml:space="preserve">                                                                                                                                                   6.  </w:t>
      </w:r>
      <w:r w:rsidR="006F5B8E" w:rsidRPr="00533FCB">
        <w:rPr>
          <w:rFonts w:cs="Arial"/>
        </w:rPr>
        <w:t xml:space="preserve">Communicate discipline-specific knowledge and opinions to team members with confidence and clarity and in a manner that ensures common understanding of the meaning of the information for treatment/care/service delivery decisions. </w:t>
      </w:r>
      <w:r w:rsidR="0012591B">
        <w:rPr>
          <w:rFonts w:cs="Arial"/>
        </w:rPr>
        <w:t xml:space="preserve">                                                                                                                                             7.  E</w:t>
      </w:r>
      <w:r w:rsidR="006F5B8E" w:rsidRPr="00533FCB">
        <w:rPr>
          <w:rFonts w:cs="Arial"/>
        </w:rPr>
        <w:t xml:space="preserve">xplain the roles and responsibilities of other members of the health care or human service providers in providing patient/client-centered care. </w:t>
      </w:r>
      <w:r w:rsidR="0012591B">
        <w:rPr>
          <w:rFonts w:cs="Arial"/>
        </w:rPr>
        <w:t xml:space="preserve">                                                                                                                                                        8.  Describe</w:t>
      </w:r>
      <w:r w:rsidR="006F5B8E" w:rsidRPr="00533FCB">
        <w:rPr>
          <w:rFonts w:cs="Arial"/>
        </w:rPr>
        <w:t xml:space="preserve"> how other health care and human service professional</w:t>
      </w:r>
      <w:r w:rsidR="002F56BF" w:rsidRPr="00533FCB">
        <w:rPr>
          <w:rFonts w:cs="Arial"/>
        </w:rPr>
        <w:t>s</w:t>
      </w:r>
      <w:r w:rsidR="006F5B8E" w:rsidRPr="00533FCB">
        <w:rPr>
          <w:rFonts w:cs="Arial"/>
        </w:rPr>
        <w:t xml:space="preserve"> can complement one’s own discipline-specific scope of practice in providing patient/client-centered care or service. </w:t>
      </w:r>
      <w:r w:rsidR="0012591B">
        <w:rPr>
          <w:rFonts w:cs="Arial"/>
        </w:rPr>
        <w:t xml:space="preserve">                                                                                  9.  Acknowledge</w:t>
      </w:r>
      <w:r w:rsidR="006F5B8E" w:rsidRPr="00533FCB">
        <w:rPr>
          <w:rFonts w:cs="Arial"/>
        </w:rPr>
        <w:t xml:space="preserve"> one’s own discipline-specific limitations in skills, knowledge and abilities in providing patient/client services and seek out or identify appropriate complimentary professionals. </w:t>
      </w:r>
      <w:r w:rsidR="0012591B">
        <w:rPr>
          <w:rFonts w:cs="Arial"/>
        </w:rPr>
        <w:t xml:space="preserve">                                                                   10.  </w:t>
      </w:r>
      <w:r w:rsidR="006F5B8E" w:rsidRPr="00533FCB">
        <w:rPr>
          <w:rFonts w:cs="Arial"/>
        </w:rPr>
        <w:t xml:space="preserve">Identify issues that can lead to conflict within </w:t>
      </w:r>
      <w:proofErr w:type="spellStart"/>
      <w:r w:rsidR="006F5B8E" w:rsidRPr="00533FCB">
        <w:rPr>
          <w:rFonts w:cs="Arial"/>
        </w:rPr>
        <w:t>interprofessional</w:t>
      </w:r>
      <w:proofErr w:type="spellEnd"/>
      <w:r w:rsidR="006F5B8E" w:rsidRPr="00533FCB">
        <w:rPr>
          <w:rFonts w:cs="Arial"/>
        </w:rPr>
        <w:t xml:space="preserve"> teams and demonstrate awareness that conflict can be productive. </w:t>
      </w:r>
      <w:r w:rsidR="0012591B">
        <w:rPr>
          <w:rFonts w:cs="Arial"/>
        </w:rPr>
        <w:t xml:space="preserve">                                                                                                                                                                          11.  </w:t>
      </w:r>
      <w:r w:rsidR="006F5B8E" w:rsidRPr="00533FCB">
        <w:rPr>
          <w:rFonts w:cs="Arial"/>
        </w:rPr>
        <w:t xml:space="preserve">Demonstrate the willingness and capacity to re-evaluate discipline-specific knowledge and findings in light of new information acquired from others during an </w:t>
      </w:r>
      <w:proofErr w:type="spellStart"/>
      <w:r w:rsidR="006F5B8E" w:rsidRPr="00533FCB">
        <w:rPr>
          <w:rFonts w:cs="Arial"/>
        </w:rPr>
        <w:t>interprofessional</w:t>
      </w:r>
      <w:proofErr w:type="spellEnd"/>
      <w:r w:rsidR="006F5B8E" w:rsidRPr="00533FCB">
        <w:rPr>
          <w:rFonts w:cs="Arial"/>
        </w:rPr>
        <w:t xml:space="preserve"> team meeting. </w:t>
      </w:r>
      <w:r w:rsidR="0012591B">
        <w:rPr>
          <w:rFonts w:cs="Arial"/>
        </w:rPr>
        <w:t xml:space="preserve">                                                              12.  </w:t>
      </w:r>
      <w:r w:rsidR="006F5B8E" w:rsidRPr="00533FCB">
        <w:rPr>
          <w:rFonts w:cs="Arial"/>
        </w:rPr>
        <w:t xml:space="preserve">Demonstrate the ability to engage in a collaborative decision making process to establish patient/client centered goals and interventions. </w:t>
      </w:r>
      <w:r w:rsidR="0012591B">
        <w:rPr>
          <w:rFonts w:cs="Arial"/>
        </w:rPr>
        <w:t xml:space="preserve">                                                                                                                                                       13.  </w:t>
      </w:r>
      <w:r w:rsidR="006F5B8E" w:rsidRPr="00533FCB">
        <w:rPr>
          <w:rFonts w:cs="Arial"/>
        </w:rPr>
        <w:t xml:space="preserve">Implement leadership practices within the context of a team meeting that supports collaborative decision making and, when necessary, effective conflict resolution. Integrate the knowledge and viewpoints of other disciplines in care planning decisions.  </w:t>
      </w:r>
      <w:r w:rsidR="0012591B">
        <w:rPr>
          <w:rFonts w:cs="Arial"/>
        </w:rPr>
        <w:t xml:space="preserve">                                                                                                                                             14.  </w:t>
      </w:r>
      <w:r w:rsidR="006F5B8E" w:rsidRPr="00533FCB">
        <w:rPr>
          <w:rFonts w:cs="Arial"/>
        </w:rPr>
        <w:t>Create a service delivery plan that uses the full scope of knowledge, skills and abilities of the available health care and human service professionals.</w:t>
      </w:r>
      <w:r w:rsidR="0012591B" w:rsidRPr="0012591B">
        <w:rPr>
          <w:rFonts w:cs="Arial"/>
        </w:rPr>
        <w:t xml:space="preserve"> </w:t>
      </w:r>
    </w:p>
    <w:p w14:paraId="2B1250AC" w14:textId="77777777" w:rsidR="0012591B" w:rsidRDefault="0012591B" w:rsidP="0012591B">
      <w:pPr>
        <w:pStyle w:val="ListParagraph"/>
        <w:spacing w:after="120"/>
        <w:ind w:left="360"/>
        <w:rPr>
          <w:rFonts w:cs="Arial"/>
        </w:rPr>
      </w:pPr>
    </w:p>
    <w:p w14:paraId="78ADA827" w14:textId="77777777" w:rsidR="0012591B" w:rsidRDefault="0012591B" w:rsidP="0012591B">
      <w:pPr>
        <w:pStyle w:val="ListParagraph"/>
        <w:spacing w:after="120"/>
        <w:ind w:left="360"/>
        <w:rPr>
          <w:rFonts w:cs="Arial"/>
        </w:rPr>
      </w:pPr>
    </w:p>
    <w:p w14:paraId="1C1BB14D" w14:textId="77777777" w:rsidR="0012591B" w:rsidRDefault="0012591B" w:rsidP="0012591B">
      <w:pPr>
        <w:pStyle w:val="ListParagraph"/>
        <w:spacing w:after="120"/>
        <w:ind w:left="360"/>
        <w:rPr>
          <w:rFonts w:cs="Arial"/>
          <w:u w:val="single"/>
        </w:rPr>
      </w:pPr>
    </w:p>
    <w:p w14:paraId="5CDC3CCE" w14:textId="0D059ADA" w:rsidR="0012591B" w:rsidRPr="0012591B" w:rsidRDefault="0012591B" w:rsidP="0012591B">
      <w:pPr>
        <w:pStyle w:val="ListParagraph"/>
        <w:spacing w:after="120"/>
        <w:ind w:left="360"/>
        <w:rPr>
          <w:rFonts w:cs="Arial"/>
          <w:u w:val="single"/>
        </w:rPr>
      </w:pPr>
      <w:r w:rsidRPr="0012591B">
        <w:rPr>
          <w:rFonts w:cs="Arial"/>
          <w:u w:val="single"/>
        </w:rPr>
        <w:t xml:space="preserve">Methods of evaluation of student learning: </w:t>
      </w:r>
    </w:p>
    <w:p w14:paraId="3EA09AB9" w14:textId="77777777" w:rsidR="0012591B" w:rsidRPr="00533FCB" w:rsidRDefault="0012591B" w:rsidP="0012591B">
      <w:pPr>
        <w:pStyle w:val="ListParagraph"/>
        <w:numPr>
          <w:ilvl w:val="0"/>
          <w:numId w:val="8"/>
        </w:numPr>
        <w:spacing w:after="120"/>
        <w:ind w:left="360"/>
        <w:rPr>
          <w:rFonts w:cs="Arial"/>
        </w:rPr>
      </w:pPr>
      <w:r w:rsidRPr="00533FCB">
        <w:rPr>
          <w:rFonts w:cs="Arial"/>
        </w:rPr>
        <w:t xml:space="preserve">Direct Observation of Student Performance - Discipline-specific Psychomotor and Cognitive Skills and </w:t>
      </w:r>
      <w:proofErr w:type="spellStart"/>
      <w:r w:rsidRPr="00533FCB">
        <w:rPr>
          <w:rFonts w:cs="Arial"/>
        </w:rPr>
        <w:t>Interprofessional</w:t>
      </w:r>
      <w:proofErr w:type="spellEnd"/>
      <w:r w:rsidRPr="00533FCB">
        <w:rPr>
          <w:rFonts w:cs="Arial"/>
        </w:rPr>
        <w:t xml:space="preserve"> Team Skills</w:t>
      </w:r>
    </w:p>
    <w:p w14:paraId="325C8D97" w14:textId="0A532F0A" w:rsidR="0012591B" w:rsidRPr="00533FCB" w:rsidRDefault="0012591B" w:rsidP="0012591B">
      <w:pPr>
        <w:pStyle w:val="ListParagraph"/>
        <w:numPr>
          <w:ilvl w:val="1"/>
          <w:numId w:val="8"/>
        </w:numPr>
        <w:spacing w:after="120"/>
        <w:ind w:left="360"/>
        <w:rPr>
          <w:rFonts w:cs="Arial"/>
        </w:rPr>
      </w:pPr>
      <w:r w:rsidRPr="00533FCB">
        <w:rPr>
          <w:rFonts w:cs="Arial"/>
        </w:rPr>
        <w:t xml:space="preserve">An OSCE-type checklist can be used to identify the correct implementation of physical examination skills and interaction with the healthcare mentor during the examination. </w:t>
      </w:r>
    </w:p>
    <w:p w14:paraId="23B0A04A" w14:textId="34403EFE" w:rsidR="0012591B" w:rsidRPr="00533FCB" w:rsidRDefault="0012591B" w:rsidP="0012591B">
      <w:pPr>
        <w:pStyle w:val="ListParagraph"/>
        <w:numPr>
          <w:ilvl w:val="1"/>
          <w:numId w:val="8"/>
        </w:numPr>
        <w:spacing w:after="120"/>
        <w:ind w:left="360"/>
        <w:rPr>
          <w:rFonts w:cs="Arial"/>
        </w:rPr>
      </w:pPr>
      <w:r w:rsidRPr="00533FCB">
        <w:rPr>
          <w:rFonts w:cs="Arial"/>
        </w:rPr>
        <w:t xml:space="preserve">Qualitative assessment of the interactions during the </w:t>
      </w:r>
      <w:proofErr w:type="spellStart"/>
      <w:r w:rsidRPr="00533FCB">
        <w:rPr>
          <w:rFonts w:cs="Arial"/>
        </w:rPr>
        <w:t>Interprofessional</w:t>
      </w:r>
      <w:proofErr w:type="spellEnd"/>
      <w:r w:rsidRPr="00533FCB">
        <w:rPr>
          <w:rFonts w:cs="Arial"/>
        </w:rPr>
        <w:t xml:space="preserve"> Team Meeting</w:t>
      </w:r>
    </w:p>
    <w:p w14:paraId="4A0206D5" w14:textId="77777777" w:rsidR="0012591B" w:rsidRPr="00533FCB" w:rsidRDefault="0012591B" w:rsidP="0012591B">
      <w:pPr>
        <w:pStyle w:val="ListParagraph"/>
        <w:numPr>
          <w:ilvl w:val="1"/>
          <w:numId w:val="8"/>
        </w:numPr>
        <w:spacing w:after="120"/>
        <w:ind w:left="360"/>
        <w:rPr>
          <w:rFonts w:cs="Arial"/>
        </w:rPr>
      </w:pPr>
      <w:r w:rsidRPr="00533FCB">
        <w:rPr>
          <w:rFonts w:cs="Arial"/>
        </w:rPr>
        <w:t xml:space="preserve">Jefferson Teamwork Observation Guide (JTOG) examines how well the group functions as an as an </w:t>
      </w:r>
      <w:proofErr w:type="spellStart"/>
      <w:r w:rsidRPr="00533FCB">
        <w:rPr>
          <w:rFonts w:cs="Arial"/>
        </w:rPr>
        <w:t>interprofessional</w:t>
      </w:r>
      <w:proofErr w:type="spellEnd"/>
      <w:r w:rsidRPr="00533FCB">
        <w:rPr>
          <w:rFonts w:cs="Arial"/>
        </w:rPr>
        <w:t xml:space="preserve"> team. https://nexusipe.org/resource-exchange/jefferson-interprofessional-observation-guide#sthash.jUb9ULxm.dpuf</w:t>
      </w:r>
      <w:r w:rsidRPr="00533FCB">
        <w:rPr>
          <w:rFonts w:cs="Arial"/>
        </w:rPr>
        <w:br/>
      </w:r>
    </w:p>
    <w:p w14:paraId="4ACCEBF3" w14:textId="77777777" w:rsidR="0012591B" w:rsidRPr="00533FCB" w:rsidRDefault="0012591B" w:rsidP="0012591B">
      <w:pPr>
        <w:pStyle w:val="ListParagraph"/>
        <w:numPr>
          <w:ilvl w:val="0"/>
          <w:numId w:val="8"/>
        </w:numPr>
        <w:spacing w:after="120"/>
        <w:ind w:left="360"/>
        <w:rPr>
          <w:rFonts w:cs="Arial"/>
        </w:rPr>
      </w:pPr>
      <w:r w:rsidRPr="00533FCB">
        <w:rPr>
          <w:rFonts w:cs="Arial"/>
        </w:rPr>
        <w:t xml:space="preserve">Documentation of the Need for Services and Outcomes from the </w:t>
      </w:r>
      <w:proofErr w:type="spellStart"/>
      <w:r w:rsidRPr="00533FCB">
        <w:rPr>
          <w:rFonts w:cs="Arial"/>
        </w:rPr>
        <w:t>Interprofessional</w:t>
      </w:r>
      <w:proofErr w:type="spellEnd"/>
      <w:r w:rsidRPr="00533FCB">
        <w:rPr>
          <w:rFonts w:cs="Arial"/>
        </w:rPr>
        <w:t xml:space="preserve"> Team Meeting</w:t>
      </w:r>
    </w:p>
    <w:p w14:paraId="3284A990" w14:textId="1FBD5E22" w:rsidR="0012591B" w:rsidRPr="00533FCB" w:rsidRDefault="0012591B" w:rsidP="0012591B">
      <w:pPr>
        <w:pStyle w:val="ListParagraph"/>
        <w:numPr>
          <w:ilvl w:val="1"/>
          <w:numId w:val="8"/>
        </w:numPr>
        <w:spacing w:after="120"/>
        <w:ind w:left="360"/>
        <w:rPr>
          <w:rFonts w:cs="Arial"/>
        </w:rPr>
      </w:pPr>
      <w:r w:rsidRPr="00533FCB">
        <w:rPr>
          <w:rFonts w:cs="Arial"/>
        </w:rPr>
        <w:t>Discipline-specific documentation of the findings from the physical examination and recommendations for care as would occur in actual clinical practice</w:t>
      </w:r>
    </w:p>
    <w:p w14:paraId="2669BC73" w14:textId="20D2E381" w:rsidR="0012591B" w:rsidRDefault="0012591B" w:rsidP="0012591B">
      <w:pPr>
        <w:pStyle w:val="ListParagraph"/>
        <w:numPr>
          <w:ilvl w:val="1"/>
          <w:numId w:val="8"/>
        </w:numPr>
        <w:spacing w:after="120"/>
        <w:ind w:left="360"/>
        <w:rPr>
          <w:rFonts w:cs="Arial"/>
        </w:rPr>
      </w:pPr>
      <w:r w:rsidRPr="00533FCB">
        <w:rPr>
          <w:rFonts w:cs="Arial"/>
        </w:rPr>
        <w:t xml:space="preserve">Documentation from the </w:t>
      </w:r>
      <w:proofErr w:type="spellStart"/>
      <w:r w:rsidRPr="00533FCB">
        <w:rPr>
          <w:rFonts w:cs="Arial"/>
        </w:rPr>
        <w:t>interprofessional</w:t>
      </w:r>
      <w:proofErr w:type="spellEnd"/>
      <w:r w:rsidRPr="00533FCB">
        <w:rPr>
          <w:rFonts w:cs="Arial"/>
        </w:rPr>
        <w:t xml:space="preserve"> team meeting</w:t>
      </w:r>
      <w:r>
        <w:rPr>
          <w:rFonts w:cs="Arial"/>
        </w:rPr>
        <w:t xml:space="preserve"> (Appendix B</w:t>
      </w:r>
      <w:r w:rsidRPr="00533FCB">
        <w:rPr>
          <w:rFonts w:cs="Arial"/>
        </w:rPr>
        <w:t>).</w:t>
      </w:r>
    </w:p>
    <w:p w14:paraId="556E98D0" w14:textId="77777777" w:rsidR="0012591B" w:rsidRPr="00533FCB" w:rsidRDefault="0012591B" w:rsidP="0012591B">
      <w:pPr>
        <w:pStyle w:val="ListParagraph"/>
        <w:spacing w:after="120"/>
        <w:ind w:left="360"/>
        <w:rPr>
          <w:rFonts w:cs="Arial"/>
        </w:rPr>
      </w:pPr>
    </w:p>
    <w:p w14:paraId="416F5807" w14:textId="77777777" w:rsidR="0012591B" w:rsidRPr="00533FCB" w:rsidRDefault="0012591B" w:rsidP="0012591B">
      <w:pPr>
        <w:pStyle w:val="ListParagraph"/>
        <w:numPr>
          <w:ilvl w:val="0"/>
          <w:numId w:val="8"/>
        </w:numPr>
        <w:spacing w:after="120"/>
        <w:ind w:left="360"/>
        <w:rPr>
          <w:rFonts w:cs="Arial"/>
        </w:rPr>
      </w:pPr>
      <w:proofErr w:type="spellStart"/>
      <w:r w:rsidRPr="00533FCB">
        <w:rPr>
          <w:rFonts w:cs="Arial"/>
        </w:rPr>
        <w:t>Interprofessional</w:t>
      </w:r>
      <w:proofErr w:type="spellEnd"/>
      <w:r w:rsidRPr="00533FCB">
        <w:rPr>
          <w:rFonts w:cs="Arial"/>
        </w:rPr>
        <w:t xml:space="preserve"> Learning and Collaboration</w:t>
      </w:r>
    </w:p>
    <w:p w14:paraId="6790CC9F" w14:textId="77777777" w:rsidR="0012591B" w:rsidRPr="00533FCB" w:rsidRDefault="0012591B" w:rsidP="0012591B">
      <w:pPr>
        <w:pStyle w:val="ListParagraph"/>
        <w:numPr>
          <w:ilvl w:val="1"/>
          <w:numId w:val="8"/>
        </w:numPr>
        <w:spacing w:after="120"/>
        <w:ind w:left="360"/>
        <w:rPr>
          <w:rFonts w:cs="Arial"/>
        </w:rPr>
      </w:pPr>
      <w:r w:rsidRPr="00533FCB">
        <w:rPr>
          <w:rFonts w:cs="Arial"/>
        </w:rPr>
        <w:t>Reaction</w:t>
      </w:r>
    </w:p>
    <w:p w14:paraId="3906E5ED" w14:textId="77777777" w:rsidR="0012591B" w:rsidRPr="00533FCB" w:rsidRDefault="0012591B" w:rsidP="0012591B">
      <w:pPr>
        <w:pStyle w:val="ListParagraph"/>
        <w:numPr>
          <w:ilvl w:val="2"/>
          <w:numId w:val="8"/>
        </w:numPr>
        <w:spacing w:after="120"/>
        <w:ind w:left="360"/>
        <w:rPr>
          <w:rFonts w:cs="Arial"/>
        </w:rPr>
      </w:pPr>
      <w:r w:rsidRPr="00533FCB">
        <w:rPr>
          <w:rFonts w:cs="Arial"/>
          <w:b/>
        </w:rPr>
        <w:t>Reflective Paper</w:t>
      </w:r>
      <w:r w:rsidRPr="00533FCB">
        <w:rPr>
          <w:rFonts w:cs="Arial"/>
        </w:rPr>
        <w:t xml:space="preserve"> that describes the perceived value of the educational experience.</w:t>
      </w:r>
      <w:r w:rsidRPr="00533FCB">
        <w:rPr>
          <w:rFonts w:cs="Arial"/>
        </w:rPr>
        <w:br/>
      </w:r>
    </w:p>
    <w:p w14:paraId="58AF79BB" w14:textId="77777777" w:rsidR="0012591B" w:rsidRPr="00533FCB" w:rsidRDefault="0012591B" w:rsidP="0012591B">
      <w:pPr>
        <w:pStyle w:val="ListParagraph"/>
        <w:numPr>
          <w:ilvl w:val="2"/>
          <w:numId w:val="8"/>
        </w:numPr>
        <w:spacing w:after="120"/>
        <w:ind w:left="360"/>
        <w:rPr>
          <w:rFonts w:cs="Arial"/>
        </w:rPr>
      </w:pPr>
      <w:r w:rsidRPr="00533FCB">
        <w:rPr>
          <w:rFonts w:cs="Arial"/>
          <w:b/>
        </w:rPr>
        <w:t>Surveys of student reactions</w:t>
      </w:r>
      <w:r w:rsidRPr="00533FCB">
        <w:rPr>
          <w:rFonts w:cs="Arial"/>
        </w:rPr>
        <w:t xml:space="preserve"> to the benefit of the experience using Likert-type scales.</w:t>
      </w:r>
      <w:r w:rsidRPr="00533FCB">
        <w:rPr>
          <w:rFonts w:cs="Arial"/>
        </w:rPr>
        <w:br/>
        <w:t xml:space="preserve"> </w:t>
      </w:r>
    </w:p>
    <w:p w14:paraId="5EDDE375" w14:textId="77777777" w:rsidR="0012591B" w:rsidRPr="00533FCB" w:rsidRDefault="0012591B" w:rsidP="0012591B">
      <w:pPr>
        <w:pStyle w:val="ListParagraph"/>
        <w:numPr>
          <w:ilvl w:val="1"/>
          <w:numId w:val="8"/>
        </w:numPr>
        <w:spacing w:after="120"/>
        <w:ind w:left="360"/>
        <w:rPr>
          <w:rFonts w:cs="Arial"/>
        </w:rPr>
      </w:pPr>
      <w:r w:rsidRPr="00533FCB">
        <w:rPr>
          <w:rFonts w:cs="Arial"/>
        </w:rPr>
        <w:t>Knowledge, Skills and Attitudes</w:t>
      </w:r>
    </w:p>
    <w:p w14:paraId="016BE842" w14:textId="77777777" w:rsidR="0012591B" w:rsidRPr="00533FCB" w:rsidRDefault="0012591B" w:rsidP="0012591B">
      <w:pPr>
        <w:pStyle w:val="ListParagraph"/>
        <w:numPr>
          <w:ilvl w:val="2"/>
          <w:numId w:val="8"/>
        </w:numPr>
        <w:spacing w:after="120"/>
        <w:ind w:left="360"/>
        <w:rPr>
          <w:rFonts w:cs="Arial"/>
        </w:rPr>
      </w:pPr>
      <w:r w:rsidRPr="00533FCB">
        <w:rPr>
          <w:rFonts w:cs="Arial"/>
        </w:rPr>
        <w:t xml:space="preserve">The </w:t>
      </w:r>
      <w:r w:rsidRPr="00533FCB">
        <w:rPr>
          <w:rFonts w:cs="Arial"/>
          <w:b/>
        </w:rPr>
        <w:t>Interdisciplinary Education Perception Scale</w:t>
      </w:r>
      <w:r w:rsidRPr="00533FCB">
        <w:rPr>
          <w:rFonts w:cs="Arial"/>
        </w:rPr>
        <w:t xml:space="preserve"> (IEPS) is an 18 item attitudinal inventory designed to measure student perceptions of one’s ability to collaborate with other professional disciplines. Four subscales examine characteristics thought to be important to effective collaborative practice – competency and autonomy, the need for cooperation with other disciplines, perception of actual cooperation, and understanding the values of other disciplines.  Each item is scored using a 6-point Likert rating scale ranging from strongly disagree to strongly agree. The score on the individual items are summarized; higher scores represent more positive attitudes.</w:t>
      </w:r>
      <w:r w:rsidRPr="00533FCB">
        <w:rPr>
          <w:rFonts w:cs="Arial"/>
        </w:rPr>
        <w:br/>
      </w:r>
    </w:p>
    <w:p w14:paraId="23B9DCE8" w14:textId="77777777" w:rsidR="0012591B" w:rsidRPr="00533FCB" w:rsidRDefault="0012591B" w:rsidP="0012591B">
      <w:pPr>
        <w:pStyle w:val="ListParagraph"/>
        <w:numPr>
          <w:ilvl w:val="2"/>
          <w:numId w:val="8"/>
        </w:numPr>
        <w:spacing w:after="120"/>
        <w:ind w:left="360"/>
        <w:rPr>
          <w:rFonts w:cs="Arial"/>
        </w:rPr>
      </w:pPr>
      <w:r w:rsidRPr="00533FCB">
        <w:rPr>
          <w:rFonts w:cs="Arial"/>
        </w:rPr>
        <w:t xml:space="preserve">The </w:t>
      </w:r>
      <w:r w:rsidRPr="00533FCB">
        <w:rPr>
          <w:rFonts w:cs="Arial"/>
          <w:b/>
        </w:rPr>
        <w:t xml:space="preserve">Readiness for </w:t>
      </w:r>
      <w:proofErr w:type="spellStart"/>
      <w:r w:rsidRPr="00533FCB">
        <w:rPr>
          <w:rFonts w:cs="Arial"/>
          <w:b/>
        </w:rPr>
        <w:t>Interprofessional</w:t>
      </w:r>
      <w:proofErr w:type="spellEnd"/>
      <w:r w:rsidRPr="00533FCB">
        <w:rPr>
          <w:rFonts w:cs="Arial"/>
          <w:b/>
        </w:rPr>
        <w:t xml:space="preserve"> Learning Scale </w:t>
      </w:r>
      <w:r w:rsidRPr="00533FCB">
        <w:rPr>
          <w:rFonts w:cs="Arial"/>
        </w:rPr>
        <w:t xml:space="preserve">(RIPLS) was developed to assess student preparedness for IPL and to examine changes in attitude during participation in educational activities related to team collaboration.  The 19-item instrument uses a 5-point Likert rating scale (1=strong disagree to 5=strongly agree) to generate summative score. Three scale domains examine attitudes toward teamwork and collaboration in learning (9 items), professional identity and learning from others (7 items) and understanding the roles and responsibilities of other disciplines (3 items).  Higher scores indicate more positive attitudes toward IPL/C.  </w:t>
      </w:r>
      <w:r w:rsidRPr="00533FCB">
        <w:rPr>
          <w:rFonts w:cs="Arial"/>
        </w:rPr>
        <w:br/>
      </w:r>
    </w:p>
    <w:p w14:paraId="2C5C7B36" w14:textId="77777777" w:rsidR="0012591B" w:rsidRPr="00533FCB" w:rsidRDefault="0012591B" w:rsidP="0012591B">
      <w:pPr>
        <w:pStyle w:val="ListParagraph"/>
        <w:numPr>
          <w:ilvl w:val="2"/>
          <w:numId w:val="8"/>
        </w:numPr>
        <w:spacing w:after="120"/>
        <w:ind w:left="360"/>
        <w:rPr>
          <w:rFonts w:cs="Arial"/>
        </w:rPr>
      </w:pPr>
      <w:r w:rsidRPr="00533FCB">
        <w:rPr>
          <w:rFonts w:cs="Arial"/>
        </w:rPr>
        <w:t xml:space="preserve">The </w:t>
      </w:r>
      <w:r w:rsidRPr="00533FCB">
        <w:rPr>
          <w:rFonts w:cs="Arial"/>
          <w:b/>
        </w:rPr>
        <w:t>Attitudes Toward Healthcare Teams Scale (ATHTS)</w:t>
      </w:r>
      <w:r w:rsidRPr="00533FCB">
        <w:rPr>
          <w:rFonts w:cs="Arial"/>
        </w:rPr>
        <w:t xml:space="preserve"> examines attitudes toward collaboration using 21 items that focus on three domains – quality of care or team value (11 items), cost of team care or team efficiency (5 items) and shared leadership (5 items). The instrument has the capacity to measure the perceptions of care quality when delivered by teams, the functioning of the team in providing care and </w:t>
      </w:r>
      <w:r w:rsidRPr="00533FCB">
        <w:rPr>
          <w:rFonts w:cs="Arial"/>
        </w:rPr>
        <w:lastRenderedPageBreak/>
        <w:t>physician authority on a team. Items are rated on a 6-point Likert scale (1=strongly agree to 6=strongly disagree).  Item scores are summed and higher scores represent more positive attitudes toward collaboration.</w:t>
      </w:r>
      <w:r w:rsidRPr="00533FCB">
        <w:rPr>
          <w:rFonts w:cs="Arial"/>
        </w:rPr>
        <w:br/>
      </w:r>
    </w:p>
    <w:p w14:paraId="72EF9E2B" w14:textId="77777777" w:rsidR="0012591B" w:rsidRPr="00533FCB" w:rsidRDefault="0012591B" w:rsidP="0012591B">
      <w:pPr>
        <w:pStyle w:val="ListParagraph"/>
        <w:numPr>
          <w:ilvl w:val="2"/>
          <w:numId w:val="8"/>
        </w:numPr>
        <w:spacing w:after="120"/>
        <w:ind w:left="360"/>
        <w:rPr>
          <w:rFonts w:cs="Arial"/>
        </w:rPr>
      </w:pPr>
      <w:r w:rsidRPr="00533FCB">
        <w:rPr>
          <w:rFonts w:cs="Arial"/>
        </w:rPr>
        <w:t xml:space="preserve">The </w:t>
      </w:r>
      <w:r w:rsidRPr="00533FCB">
        <w:rPr>
          <w:rFonts w:cs="Arial"/>
          <w:b/>
        </w:rPr>
        <w:t>Team Skills Scale (TSS)</w:t>
      </w:r>
      <w:r w:rsidRPr="00533FCB">
        <w:rPr>
          <w:rFonts w:cs="Arial"/>
        </w:rPr>
        <w:t xml:space="preserve"> is a self-report instrument that using a 5-point Likert-type scale to measure three factors: interpersonal skills, discipline-specific skills, and geriatric care skills.</w:t>
      </w:r>
      <w:r w:rsidRPr="00533FCB">
        <w:rPr>
          <w:rFonts w:cs="Arial"/>
        </w:rPr>
        <w:br/>
      </w:r>
    </w:p>
    <w:p w14:paraId="6D93CE1E" w14:textId="77777777" w:rsidR="0012591B" w:rsidRPr="00533FCB" w:rsidRDefault="0012591B" w:rsidP="0012591B">
      <w:pPr>
        <w:pStyle w:val="ListParagraph"/>
        <w:numPr>
          <w:ilvl w:val="2"/>
          <w:numId w:val="8"/>
        </w:numPr>
        <w:spacing w:after="120"/>
        <w:ind w:left="360"/>
        <w:rPr>
          <w:rFonts w:cs="Arial"/>
        </w:rPr>
      </w:pPr>
      <w:r w:rsidRPr="00533FCB">
        <w:rPr>
          <w:rFonts w:cs="Arial"/>
        </w:rPr>
        <w:t xml:space="preserve">The </w:t>
      </w:r>
      <w:r w:rsidRPr="00533FCB">
        <w:rPr>
          <w:rFonts w:cs="Arial"/>
          <w:b/>
        </w:rPr>
        <w:t>Jefferson Teamwork Observation Guide (JTOG)</w:t>
      </w:r>
      <w:r w:rsidRPr="00533FCB">
        <w:rPr>
          <w:rFonts w:cs="Arial"/>
        </w:rPr>
        <w:t xml:space="preserve"> examines how well the group functions as an </w:t>
      </w:r>
      <w:proofErr w:type="spellStart"/>
      <w:r w:rsidRPr="00533FCB">
        <w:rPr>
          <w:rFonts w:cs="Arial"/>
        </w:rPr>
        <w:t>interprofessional</w:t>
      </w:r>
      <w:proofErr w:type="spellEnd"/>
      <w:r w:rsidRPr="00533FCB">
        <w:rPr>
          <w:rFonts w:cs="Arial"/>
        </w:rPr>
        <w:t xml:space="preserve"> team and examines 5 domains: shared leadership, open communication, respect, teamwork and trust. </w:t>
      </w:r>
      <w:r w:rsidRPr="00533FCB">
        <w:rPr>
          <w:rFonts w:cs="Arial"/>
        </w:rPr>
        <w:br/>
      </w:r>
    </w:p>
    <w:p w14:paraId="5A574C1C" w14:textId="77777777" w:rsidR="0012591B" w:rsidRPr="00533FCB" w:rsidRDefault="0012591B" w:rsidP="0012591B">
      <w:pPr>
        <w:pStyle w:val="ListParagraph"/>
        <w:numPr>
          <w:ilvl w:val="2"/>
          <w:numId w:val="8"/>
        </w:numPr>
        <w:spacing w:after="120"/>
        <w:ind w:left="360"/>
        <w:rPr>
          <w:rFonts w:cs="Arial"/>
        </w:rPr>
      </w:pPr>
      <w:r w:rsidRPr="00533FCB">
        <w:rPr>
          <w:rFonts w:cs="Arial"/>
        </w:rPr>
        <w:t xml:space="preserve">The </w:t>
      </w:r>
      <w:proofErr w:type="spellStart"/>
      <w:r w:rsidRPr="00533FCB">
        <w:rPr>
          <w:rFonts w:cs="Arial"/>
          <w:b/>
        </w:rPr>
        <w:t>Interprofessional</w:t>
      </w:r>
      <w:proofErr w:type="spellEnd"/>
      <w:r w:rsidRPr="00533FCB">
        <w:rPr>
          <w:rFonts w:cs="Arial"/>
          <w:b/>
        </w:rPr>
        <w:t xml:space="preserve"> Collaborative Competencies Attainment Survey (ICCAS)</w:t>
      </w:r>
      <w:r w:rsidRPr="00533FCB">
        <w:rPr>
          <w:rFonts w:cs="Arial"/>
        </w:rPr>
        <w:t xml:space="preserve"> contains 20 items that are designed to assess 6 core collaboration competencies: communication, collaboration, roles and responsibilities, collaborative patient/family-centered approach, conflict management/resolution, and team functioning. </w:t>
      </w:r>
      <w:r w:rsidRPr="00533FCB">
        <w:rPr>
          <w:rFonts w:cs="Arial"/>
        </w:rPr>
        <w:br/>
      </w:r>
    </w:p>
    <w:p w14:paraId="620FA7B6" w14:textId="77777777" w:rsidR="0012591B" w:rsidRPr="00533FCB" w:rsidRDefault="0012591B" w:rsidP="0012591B">
      <w:pPr>
        <w:pStyle w:val="ListParagraph"/>
        <w:numPr>
          <w:ilvl w:val="2"/>
          <w:numId w:val="8"/>
        </w:numPr>
        <w:spacing w:after="120"/>
        <w:ind w:left="360"/>
        <w:rPr>
          <w:rFonts w:cs="Arial"/>
        </w:rPr>
      </w:pPr>
      <w:proofErr w:type="spellStart"/>
      <w:r w:rsidRPr="00533FCB">
        <w:rPr>
          <w:rFonts w:cs="Arial"/>
          <w:b/>
        </w:rPr>
        <w:t>Interprofessional</w:t>
      </w:r>
      <w:proofErr w:type="spellEnd"/>
      <w:r w:rsidRPr="00533FCB">
        <w:rPr>
          <w:rFonts w:cs="Arial"/>
          <w:b/>
        </w:rPr>
        <w:t xml:space="preserve"> Self-efficacy Scale (IP-SE)</w:t>
      </w:r>
      <w:r w:rsidRPr="00533FCB">
        <w:rPr>
          <w:rFonts w:cs="Arial"/>
        </w:rPr>
        <w:t xml:space="preserve"> was developed for pre-licensure students to examine self-efficacy for </w:t>
      </w:r>
      <w:proofErr w:type="spellStart"/>
      <w:r w:rsidRPr="00533FCB">
        <w:rPr>
          <w:rFonts w:cs="Arial"/>
        </w:rPr>
        <w:t>interprofessional</w:t>
      </w:r>
      <w:proofErr w:type="spellEnd"/>
      <w:r w:rsidRPr="00533FCB">
        <w:rPr>
          <w:rFonts w:cs="Arial"/>
        </w:rPr>
        <w:t xml:space="preserve"> team interactions and providing feedback to other members of the team.</w:t>
      </w:r>
    </w:p>
    <w:p w14:paraId="10479C6A" w14:textId="3CCE56FE" w:rsidR="00717CD9" w:rsidRPr="00533FCB" w:rsidRDefault="00717CD9" w:rsidP="0012591B">
      <w:pPr>
        <w:spacing w:after="160"/>
        <w:rPr>
          <w:rFonts w:cs="Arial"/>
        </w:rPr>
      </w:pPr>
    </w:p>
    <w:p w14:paraId="639A62DF" w14:textId="77777777" w:rsidR="004E29F2" w:rsidRPr="00533FCB" w:rsidRDefault="004E29F2" w:rsidP="00533FCB">
      <w:pPr>
        <w:spacing w:after="120"/>
        <w:ind w:left="360"/>
        <w:rPr>
          <w:rFonts w:cs="Arial"/>
        </w:rPr>
      </w:pPr>
    </w:p>
    <w:p w14:paraId="45D13C38" w14:textId="77777777" w:rsidR="00F4284B" w:rsidRDefault="00F4284B" w:rsidP="00533FCB">
      <w:pPr>
        <w:pStyle w:val="ListParagraph"/>
        <w:spacing w:after="120"/>
        <w:ind w:left="360"/>
        <w:rPr>
          <w:rFonts w:cs="Arial"/>
        </w:rPr>
      </w:pPr>
    </w:p>
    <w:p w14:paraId="0EE9524F" w14:textId="77777777" w:rsidR="0012591B" w:rsidRDefault="0012591B" w:rsidP="00533FCB">
      <w:pPr>
        <w:pStyle w:val="ListParagraph"/>
        <w:spacing w:after="120"/>
        <w:ind w:left="360"/>
        <w:rPr>
          <w:rFonts w:cs="Arial"/>
        </w:rPr>
      </w:pPr>
    </w:p>
    <w:p w14:paraId="28076602" w14:textId="77777777" w:rsidR="0012591B" w:rsidRDefault="0012591B" w:rsidP="00533FCB">
      <w:pPr>
        <w:pStyle w:val="ListParagraph"/>
        <w:spacing w:after="120"/>
        <w:ind w:left="360"/>
        <w:rPr>
          <w:rFonts w:cs="Arial"/>
        </w:rPr>
      </w:pPr>
    </w:p>
    <w:p w14:paraId="3EE1353E" w14:textId="77777777" w:rsidR="0012591B" w:rsidRDefault="0012591B" w:rsidP="00533FCB">
      <w:pPr>
        <w:pStyle w:val="ListParagraph"/>
        <w:spacing w:after="120"/>
        <w:ind w:left="360"/>
        <w:rPr>
          <w:rFonts w:cs="Arial"/>
        </w:rPr>
      </w:pPr>
    </w:p>
    <w:p w14:paraId="60C44F2F" w14:textId="77777777" w:rsidR="0012591B" w:rsidRDefault="0012591B" w:rsidP="00533FCB">
      <w:pPr>
        <w:pStyle w:val="ListParagraph"/>
        <w:spacing w:after="120"/>
        <w:ind w:left="360"/>
        <w:rPr>
          <w:rFonts w:cs="Arial"/>
        </w:rPr>
      </w:pPr>
    </w:p>
    <w:p w14:paraId="661E98BC" w14:textId="77777777" w:rsidR="0012591B" w:rsidRDefault="0012591B" w:rsidP="00533FCB">
      <w:pPr>
        <w:pStyle w:val="ListParagraph"/>
        <w:spacing w:after="120"/>
        <w:ind w:left="360"/>
        <w:rPr>
          <w:rFonts w:cs="Arial"/>
        </w:rPr>
      </w:pPr>
    </w:p>
    <w:p w14:paraId="3ED65C42" w14:textId="77777777" w:rsidR="0012591B" w:rsidRDefault="0012591B" w:rsidP="00533FCB">
      <w:pPr>
        <w:pStyle w:val="ListParagraph"/>
        <w:spacing w:after="120"/>
        <w:ind w:left="360"/>
        <w:rPr>
          <w:rFonts w:cs="Arial"/>
        </w:rPr>
      </w:pPr>
    </w:p>
    <w:p w14:paraId="409E2266" w14:textId="77777777" w:rsidR="0012591B" w:rsidRDefault="0012591B" w:rsidP="00533FCB">
      <w:pPr>
        <w:pStyle w:val="ListParagraph"/>
        <w:spacing w:after="120"/>
        <w:ind w:left="360"/>
        <w:rPr>
          <w:rFonts w:cs="Arial"/>
        </w:rPr>
      </w:pPr>
    </w:p>
    <w:p w14:paraId="0D9A7567" w14:textId="77777777" w:rsidR="0012591B" w:rsidRDefault="0012591B" w:rsidP="00533FCB">
      <w:pPr>
        <w:pStyle w:val="ListParagraph"/>
        <w:spacing w:after="120"/>
        <w:ind w:left="360"/>
        <w:rPr>
          <w:rFonts w:cs="Arial"/>
        </w:rPr>
      </w:pPr>
    </w:p>
    <w:p w14:paraId="7996BBCB" w14:textId="77777777" w:rsidR="0012591B" w:rsidRDefault="0012591B" w:rsidP="00533FCB">
      <w:pPr>
        <w:pStyle w:val="ListParagraph"/>
        <w:spacing w:after="120"/>
        <w:ind w:left="360"/>
        <w:rPr>
          <w:rFonts w:cs="Arial"/>
        </w:rPr>
      </w:pPr>
    </w:p>
    <w:p w14:paraId="26AF509C" w14:textId="77777777" w:rsidR="0012591B" w:rsidRDefault="0012591B" w:rsidP="00533FCB">
      <w:pPr>
        <w:pStyle w:val="ListParagraph"/>
        <w:spacing w:after="120"/>
        <w:ind w:left="360"/>
        <w:rPr>
          <w:rFonts w:cs="Arial"/>
        </w:rPr>
      </w:pPr>
    </w:p>
    <w:p w14:paraId="2EB43FDF" w14:textId="77777777" w:rsidR="0012591B" w:rsidRDefault="0012591B" w:rsidP="00533FCB">
      <w:pPr>
        <w:pStyle w:val="ListParagraph"/>
        <w:spacing w:after="120"/>
        <w:ind w:left="360"/>
        <w:rPr>
          <w:rFonts w:cs="Arial"/>
        </w:rPr>
      </w:pPr>
    </w:p>
    <w:p w14:paraId="540327A0" w14:textId="77777777" w:rsidR="0012591B" w:rsidRDefault="0012591B" w:rsidP="00533FCB">
      <w:pPr>
        <w:pStyle w:val="ListParagraph"/>
        <w:spacing w:after="120"/>
        <w:ind w:left="360"/>
        <w:rPr>
          <w:rFonts w:cs="Arial"/>
        </w:rPr>
      </w:pPr>
    </w:p>
    <w:p w14:paraId="18140842" w14:textId="77777777" w:rsidR="0012591B" w:rsidRDefault="0012591B" w:rsidP="00533FCB">
      <w:pPr>
        <w:pStyle w:val="ListParagraph"/>
        <w:spacing w:after="120"/>
        <w:ind w:left="360"/>
        <w:rPr>
          <w:rFonts w:cs="Arial"/>
        </w:rPr>
      </w:pPr>
    </w:p>
    <w:p w14:paraId="538D8B5D" w14:textId="77777777" w:rsidR="0012591B" w:rsidRDefault="0012591B" w:rsidP="00533FCB">
      <w:pPr>
        <w:pStyle w:val="ListParagraph"/>
        <w:spacing w:after="120"/>
        <w:ind w:left="360"/>
        <w:rPr>
          <w:rFonts w:cs="Arial"/>
        </w:rPr>
      </w:pPr>
    </w:p>
    <w:p w14:paraId="7828623F" w14:textId="77777777" w:rsidR="0012591B" w:rsidRDefault="0012591B" w:rsidP="00533FCB">
      <w:pPr>
        <w:pStyle w:val="ListParagraph"/>
        <w:spacing w:after="120"/>
        <w:ind w:left="360"/>
        <w:rPr>
          <w:rFonts w:cs="Arial"/>
        </w:rPr>
      </w:pPr>
    </w:p>
    <w:p w14:paraId="404E0791" w14:textId="77777777" w:rsidR="0012591B" w:rsidRPr="00533FCB" w:rsidRDefault="0012591B" w:rsidP="00533FCB">
      <w:pPr>
        <w:pStyle w:val="ListParagraph"/>
        <w:spacing w:after="120"/>
        <w:ind w:left="360"/>
        <w:rPr>
          <w:rFonts w:cs="Arial"/>
        </w:rPr>
      </w:pPr>
    </w:p>
    <w:p w14:paraId="4E871439" w14:textId="77777777" w:rsidR="008C2C21" w:rsidRPr="00533FCB" w:rsidRDefault="008C2C21" w:rsidP="00533FCB">
      <w:pPr>
        <w:spacing w:after="120"/>
        <w:ind w:left="360" w:firstLine="360"/>
        <w:rPr>
          <w:rFonts w:cs="Arial"/>
        </w:rPr>
      </w:pPr>
    </w:p>
    <w:p w14:paraId="3C58CD65" w14:textId="64402FD0" w:rsidR="0022138A" w:rsidRPr="00533FCB" w:rsidRDefault="00BD7219" w:rsidP="00533FCB">
      <w:pPr>
        <w:pStyle w:val="Caption"/>
        <w:keepNext/>
        <w:spacing w:line="276" w:lineRule="auto"/>
        <w:ind w:left="360"/>
        <w:rPr>
          <w:rFonts w:asciiTheme="minorHAnsi" w:hAnsiTheme="minorHAnsi" w:cs="Arial"/>
          <w:b/>
          <w:i w:val="0"/>
          <w:color w:val="auto"/>
          <w:sz w:val="22"/>
          <w:szCs w:val="22"/>
        </w:rPr>
      </w:pPr>
      <w:r>
        <w:rPr>
          <w:rFonts w:asciiTheme="minorHAnsi" w:hAnsiTheme="minorHAnsi" w:cs="Arial"/>
          <w:b/>
          <w:i w:val="0"/>
          <w:color w:val="auto"/>
          <w:sz w:val="22"/>
          <w:szCs w:val="22"/>
        </w:rPr>
        <w:lastRenderedPageBreak/>
        <w:t xml:space="preserve">Appendix </w:t>
      </w:r>
      <w:proofErr w:type="gramStart"/>
      <w:r>
        <w:rPr>
          <w:rFonts w:asciiTheme="minorHAnsi" w:hAnsiTheme="minorHAnsi" w:cs="Arial"/>
          <w:b/>
          <w:i w:val="0"/>
          <w:color w:val="auto"/>
          <w:sz w:val="22"/>
          <w:szCs w:val="22"/>
        </w:rPr>
        <w:t>A</w:t>
      </w:r>
      <w:proofErr w:type="gramEnd"/>
      <w:r>
        <w:rPr>
          <w:rFonts w:asciiTheme="minorHAnsi" w:hAnsiTheme="minorHAnsi" w:cs="Arial"/>
          <w:b/>
          <w:i w:val="0"/>
          <w:color w:val="auto"/>
          <w:sz w:val="22"/>
          <w:szCs w:val="22"/>
        </w:rPr>
        <w:tab/>
      </w:r>
      <w:r>
        <w:rPr>
          <w:rFonts w:asciiTheme="minorHAnsi" w:hAnsiTheme="minorHAnsi" w:cs="Arial"/>
          <w:b/>
          <w:i w:val="0"/>
          <w:color w:val="auto"/>
          <w:sz w:val="22"/>
          <w:szCs w:val="22"/>
        </w:rPr>
        <w:tab/>
      </w:r>
      <w:r w:rsidR="0022138A" w:rsidRPr="00533FCB">
        <w:rPr>
          <w:rFonts w:asciiTheme="minorHAnsi" w:hAnsiTheme="minorHAnsi" w:cs="Arial"/>
          <w:b/>
          <w:i w:val="0"/>
          <w:color w:val="auto"/>
          <w:sz w:val="22"/>
          <w:szCs w:val="22"/>
        </w:rPr>
        <w:t xml:space="preserve">Table </w:t>
      </w:r>
      <w:r w:rsidR="0022138A" w:rsidRPr="00533FCB">
        <w:rPr>
          <w:rFonts w:asciiTheme="minorHAnsi" w:hAnsiTheme="minorHAnsi" w:cs="Arial"/>
          <w:b/>
          <w:i w:val="0"/>
          <w:color w:val="auto"/>
          <w:sz w:val="22"/>
          <w:szCs w:val="22"/>
        </w:rPr>
        <w:fldChar w:fldCharType="begin"/>
      </w:r>
      <w:r w:rsidR="0022138A" w:rsidRPr="00533FCB">
        <w:rPr>
          <w:rFonts w:asciiTheme="minorHAnsi" w:hAnsiTheme="minorHAnsi" w:cs="Arial"/>
          <w:b/>
          <w:i w:val="0"/>
          <w:color w:val="auto"/>
          <w:sz w:val="22"/>
          <w:szCs w:val="22"/>
        </w:rPr>
        <w:instrText xml:space="preserve"> SEQ Table \* ARABIC </w:instrText>
      </w:r>
      <w:r w:rsidR="0022138A" w:rsidRPr="00533FCB">
        <w:rPr>
          <w:rFonts w:asciiTheme="minorHAnsi" w:hAnsiTheme="minorHAnsi" w:cs="Arial"/>
          <w:b/>
          <w:i w:val="0"/>
          <w:color w:val="auto"/>
          <w:sz w:val="22"/>
          <w:szCs w:val="22"/>
        </w:rPr>
        <w:fldChar w:fldCharType="separate"/>
      </w:r>
      <w:r w:rsidR="00BB47CD" w:rsidRPr="00533FCB">
        <w:rPr>
          <w:rFonts w:asciiTheme="minorHAnsi" w:hAnsiTheme="minorHAnsi" w:cs="Arial"/>
          <w:b/>
          <w:i w:val="0"/>
          <w:noProof/>
          <w:color w:val="auto"/>
          <w:sz w:val="22"/>
          <w:szCs w:val="22"/>
        </w:rPr>
        <w:t>1</w:t>
      </w:r>
      <w:r w:rsidR="0022138A" w:rsidRPr="00533FCB">
        <w:rPr>
          <w:rFonts w:asciiTheme="minorHAnsi" w:hAnsiTheme="minorHAnsi" w:cs="Arial"/>
          <w:b/>
          <w:i w:val="0"/>
          <w:color w:val="auto"/>
          <w:sz w:val="22"/>
          <w:szCs w:val="22"/>
        </w:rPr>
        <w:fldChar w:fldCharType="end"/>
      </w:r>
      <w:r w:rsidR="0022138A" w:rsidRPr="00533FCB">
        <w:rPr>
          <w:rFonts w:asciiTheme="minorHAnsi" w:hAnsiTheme="minorHAnsi" w:cs="Arial"/>
          <w:b/>
          <w:i w:val="0"/>
          <w:color w:val="auto"/>
          <w:sz w:val="22"/>
          <w:szCs w:val="22"/>
        </w:rPr>
        <w:t>. Overview of the Curriculum Summarizing the Learning Activities</w:t>
      </w:r>
    </w:p>
    <w:tbl>
      <w:tblPr>
        <w:tblStyle w:val="GridTable1Light1"/>
        <w:tblW w:w="10435" w:type="dxa"/>
        <w:tblLook w:val="0420" w:firstRow="1" w:lastRow="0" w:firstColumn="0" w:lastColumn="0" w:noHBand="0" w:noVBand="1"/>
      </w:tblPr>
      <w:tblGrid>
        <w:gridCol w:w="3235"/>
        <w:gridCol w:w="1603"/>
        <w:gridCol w:w="5597"/>
      </w:tblGrid>
      <w:tr w:rsidR="0022138A" w:rsidRPr="00533FCB" w14:paraId="199EA3A6" w14:textId="77777777" w:rsidTr="0077752E">
        <w:trPr>
          <w:cnfStyle w:val="100000000000" w:firstRow="1" w:lastRow="0" w:firstColumn="0" w:lastColumn="0" w:oddVBand="0" w:evenVBand="0" w:oddHBand="0" w:evenHBand="0" w:firstRowFirstColumn="0" w:firstRowLastColumn="0" w:lastRowFirstColumn="0" w:lastRowLastColumn="0"/>
          <w:trHeight w:val="603"/>
          <w:tblHeader/>
        </w:trPr>
        <w:tc>
          <w:tcPr>
            <w:tcW w:w="3235" w:type="dxa"/>
            <w:tcBorders>
              <w:top w:val="single" w:sz="4" w:space="0" w:color="auto"/>
            </w:tcBorders>
            <w:vAlign w:val="bottom"/>
            <w:hideMark/>
          </w:tcPr>
          <w:p w14:paraId="35CC6858" w14:textId="77777777" w:rsidR="0022138A" w:rsidRPr="00533FCB" w:rsidRDefault="0022138A" w:rsidP="00533FCB">
            <w:pPr>
              <w:ind w:left="360"/>
              <w:rPr>
                <w:rFonts w:cs="Arial"/>
              </w:rPr>
            </w:pPr>
            <w:r w:rsidRPr="00533FCB">
              <w:rPr>
                <w:rFonts w:cs="Arial"/>
              </w:rPr>
              <w:t>Learning Activity</w:t>
            </w:r>
          </w:p>
        </w:tc>
        <w:tc>
          <w:tcPr>
            <w:tcW w:w="1603" w:type="dxa"/>
            <w:tcBorders>
              <w:top w:val="single" w:sz="4" w:space="0" w:color="auto"/>
            </w:tcBorders>
            <w:vAlign w:val="bottom"/>
            <w:hideMark/>
          </w:tcPr>
          <w:p w14:paraId="7DCBCAD6" w14:textId="77777777" w:rsidR="0022138A" w:rsidRPr="00533FCB" w:rsidRDefault="0022138A" w:rsidP="00533FCB">
            <w:pPr>
              <w:ind w:left="360"/>
              <w:rPr>
                <w:rFonts w:cs="Arial"/>
              </w:rPr>
            </w:pPr>
            <w:r w:rsidRPr="00533FCB">
              <w:rPr>
                <w:rFonts w:cs="Arial"/>
              </w:rPr>
              <w:t>Time</w:t>
            </w:r>
          </w:p>
        </w:tc>
        <w:tc>
          <w:tcPr>
            <w:tcW w:w="5597" w:type="dxa"/>
            <w:tcBorders>
              <w:top w:val="single" w:sz="4" w:space="0" w:color="auto"/>
            </w:tcBorders>
            <w:vAlign w:val="bottom"/>
            <w:hideMark/>
          </w:tcPr>
          <w:p w14:paraId="0E316FE7" w14:textId="77777777" w:rsidR="0022138A" w:rsidRPr="00533FCB" w:rsidRDefault="0022138A" w:rsidP="00533FCB">
            <w:pPr>
              <w:ind w:left="360"/>
              <w:rPr>
                <w:rFonts w:cs="Arial"/>
              </w:rPr>
            </w:pPr>
            <w:r w:rsidRPr="00533FCB">
              <w:rPr>
                <w:rFonts w:cs="Arial"/>
              </w:rPr>
              <w:t>Activities</w:t>
            </w:r>
          </w:p>
        </w:tc>
      </w:tr>
      <w:tr w:rsidR="0022138A" w:rsidRPr="00533FCB" w14:paraId="53D79E56" w14:textId="77777777" w:rsidTr="0022138A">
        <w:trPr>
          <w:trHeight w:val="489"/>
        </w:trPr>
        <w:tc>
          <w:tcPr>
            <w:tcW w:w="3235" w:type="dxa"/>
            <w:hideMark/>
          </w:tcPr>
          <w:p w14:paraId="75F8C9A7" w14:textId="3BFE96CE" w:rsidR="0022138A" w:rsidRPr="00533FCB" w:rsidRDefault="0022138A" w:rsidP="00533FCB">
            <w:pPr>
              <w:pStyle w:val="ListParagraph"/>
              <w:spacing w:after="160"/>
              <w:ind w:left="360"/>
              <w:rPr>
                <w:rFonts w:cs="Arial"/>
              </w:rPr>
            </w:pPr>
            <w:r w:rsidRPr="00533FCB">
              <w:rPr>
                <w:rFonts w:cs="Arial"/>
              </w:rPr>
              <w:t xml:space="preserve">Introduction to </w:t>
            </w:r>
            <w:proofErr w:type="spellStart"/>
            <w:r w:rsidRPr="00533FCB">
              <w:rPr>
                <w:rFonts w:cs="Arial"/>
              </w:rPr>
              <w:t>I</w:t>
            </w:r>
            <w:r w:rsidR="00343C4C" w:rsidRPr="00533FCB">
              <w:rPr>
                <w:rFonts w:cs="Arial"/>
              </w:rPr>
              <w:t>nterprofessional</w:t>
            </w:r>
            <w:proofErr w:type="spellEnd"/>
            <w:r w:rsidR="00343C4C" w:rsidRPr="00533FCB">
              <w:rPr>
                <w:rFonts w:cs="Arial"/>
              </w:rPr>
              <w:t xml:space="preserve"> learning (IPL) and collaboration (IPC)</w:t>
            </w:r>
          </w:p>
        </w:tc>
        <w:tc>
          <w:tcPr>
            <w:tcW w:w="1603" w:type="dxa"/>
            <w:hideMark/>
          </w:tcPr>
          <w:p w14:paraId="645D0E44" w14:textId="77777777" w:rsidR="0022138A" w:rsidRPr="00533FCB" w:rsidRDefault="0022138A" w:rsidP="00533FCB">
            <w:pPr>
              <w:pStyle w:val="ListParagraph"/>
              <w:spacing w:after="160"/>
              <w:ind w:left="360"/>
              <w:jc w:val="center"/>
              <w:rPr>
                <w:rFonts w:cs="Arial"/>
              </w:rPr>
            </w:pPr>
            <w:r w:rsidRPr="00533FCB">
              <w:rPr>
                <w:rFonts w:cs="Arial"/>
              </w:rPr>
              <w:t>30 Minutes</w:t>
            </w:r>
          </w:p>
        </w:tc>
        <w:tc>
          <w:tcPr>
            <w:tcW w:w="5597" w:type="dxa"/>
            <w:hideMark/>
          </w:tcPr>
          <w:p w14:paraId="60F9379E" w14:textId="22B9EE5C" w:rsidR="0022138A" w:rsidRPr="00533FCB" w:rsidRDefault="009D3965" w:rsidP="00533FCB">
            <w:pPr>
              <w:pStyle w:val="ListParagraph"/>
              <w:spacing w:after="160"/>
              <w:ind w:left="360"/>
              <w:rPr>
                <w:rFonts w:cs="Arial"/>
              </w:rPr>
            </w:pPr>
            <w:r w:rsidRPr="00533FCB">
              <w:rPr>
                <w:rFonts w:cs="Arial"/>
              </w:rPr>
              <w:t xml:space="preserve">The learning activity consists of a </w:t>
            </w:r>
            <w:r w:rsidR="008C2C21" w:rsidRPr="00533FCB">
              <w:rPr>
                <w:rFonts w:cs="Arial"/>
              </w:rPr>
              <w:t>d</w:t>
            </w:r>
            <w:r w:rsidR="0022138A" w:rsidRPr="00533FCB">
              <w:rPr>
                <w:rFonts w:cs="Arial"/>
              </w:rPr>
              <w:t>iscipline-specific introduction to the importance of IPC and purpose of IPL</w:t>
            </w:r>
            <w:r w:rsidR="00F04814" w:rsidRPr="00533FCB">
              <w:rPr>
                <w:rFonts w:cs="Arial"/>
              </w:rPr>
              <w:t xml:space="preserve">.  Faculty from each discipline, who have experience with </w:t>
            </w:r>
            <w:proofErr w:type="spellStart"/>
            <w:r w:rsidR="00F04814" w:rsidRPr="00533FCB">
              <w:rPr>
                <w:rFonts w:cs="Arial"/>
              </w:rPr>
              <w:t>interprofessional</w:t>
            </w:r>
            <w:proofErr w:type="spellEnd"/>
            <w:r w:rsidR="00F04814" w:rsidRPr="00533FCB">
              <w:rPr>
                <w:rFonts w:cs="Arial"/>
              </w:rPr>
              <w:t xml:space="preserve"> learning, are responsible for helping the students understand their role on </w:t>
            </w:r>
            <w:proofErr w:type="spellStart"/>
            <w:r w:rsidR="00F04814" w:rsidRPr="00533FCB">
              <w:rPr>
                <w:rFonts w:cs="Arial"/>
              </w:rPr>
              <w:t>interprofessional</w:t>
            </w:r>
            <w:proofErr w:type="spellEnd"/>
            <w:r w:rsidR="00F04814" w:rsidRPr="00533FCB">
              <w:rPr>
                <w:rFonts w:cs="Arial"/>
              </w:rPr>
              <w:t xml:space="preserve"> teams and the importance of </w:t>
            </w:r>
            <w:proofErr w:type="spellStart"/>
            <w:r w:rsidR="00F04814" w:rsidRPr="00533FCB">
              <w:rPr>
                <w:rFonts w:cs="Arial"/>
              </w:rPr>
              <w:t>interprofessional</w:t>
            </w:r>
            <w:proofErr w:type="spellEnd"/>
            <w:r w:rsidR="00F04814" w:rsidRPr="00533FCB">
              <w:rPr>
                <w:rFonts w:cs="Arial"/>
              </w:rPr>
              <w:t xml:space="preserve"> collaboration.  The </w:t>
            </w:r>
            <w:r w:rsidR="008C2C21" w:rsidRPr="00533FCB">
              <w:rPr>
                <w:rFonts w:cs="Arial"/>
              </w:rPr>
              <w:t xml:space="preserve">content </w:t>
            </w:r>
            <w:r w:rsidR="00F04814" w:rsidRPr="00533FCB">
              <w:rPr>
                <w:rFonts w:cs="Arial"/>
              </w:rPr>
              <w:t>included in the discussion were developed collaboratively by the faculty whose students are involved in the learning experience.</w:t>
            </w:r>
          </w:p>
        </w:tc>
      </w:tr>
      <w:tr w:rsidR="0022138A" w:rsidRPr="00533FCB" w14:paraId="1C67A8E0" w14:textId="77777777" w:rsidTr="0022138A">
        <w:trPr>
          <w:trHeight w:val="799"/>
        </w:trPr>
        <w:tc>
          <w:tcPr>
            <w:tcW w:w="3235" w:type="dxa"/>
            <w:hideMark/>
          </w:tcPr>
          <w:p w14:paraId="11E21F57" w14:textId="77777777" w:rsidR="0022138A" w:rsidRPr="00533FCB" w:rsidRDefault="0022138A" w:rsidP="00533FCB">
            <w:pPr>
              <w:pStyle w:val="ListParagraph"/>
              <w:spacing w:after="160"/>
              <w:ind w:left="360"/>
              <w:rPr>
                <w:rFonts w:cs="Arial"/>
              </w:rPr>
            </w:pPr>
            <w:r w:rsidRPr="00533FCB">
              <w:rPr>
                <w:rFonts w:cs="Arial"/>
              </w:rPr>
              <w:t>Issues in the Management of MS</w:t>
            </w:r>
          </w:p>
        </w:tc>
        <w:tc>
          <w:tcPr>
            <w:tcW w:w="1603" w:type="dxa"/>
            <w:hideMark/>
          </w:tcPr>
          <w:p w14:paraId="2AD8F4C5" w14:textId="6768A4D8" w:rsidR="0022138A" w:rsidRPr="00533FCB" w:rsidRDefault="0022138A" w:rsidP="00533FCB">
            <w:pPr>
              <w:pStyle w:val="ListParagraph"/>
              <w:spacing w:after="160"/>
              <w:ind w:left="360"/>
              <w:jc w:val="center"/>
              <w:rPr>
                <w:rFonts w:cs="Arial"/>
              </w:rPr>
            </w:pPr>
            <w:r w:rsidRPr="00533FCB">
              <w:rPr>
                <w:rFonts w:cs="Arial"/>
              </w:rPr>
              <w:t>60</w:t>
            </w:r>
            <w:r w:rsidR="00E83B45" w:rsidRPr="00533FCB">
              <w:rPr>
                <w:rFonts w:cs="Arial"/>
              </w:rPr>
              <w:t>-</w:t>
            </w:r>
            <w:r w:rsidR="000C368E" w:rsidRPr="00533FCB">
              <w:rPr>
                <w:rFonts w:cs="Arial"/>
              </w:rPr>
              <w:t>90</w:t>
            </w:r>
            <w:r w:rsidRPr="00533FCB">
              <w:rPr>
                <w:rFonts w:cs="Arial"/>
              </w:rPr>
              <w:t xml:space="preserve"> Minutes</w:t>
            </w:r>
          </w:p>
        </w:tc>
        <w:tc>
          <w:tcPr>
            <w:tcW w:w="5597" w:type="dxa"/>
            <w:hideMark/>
          </w:tcPr>
          <w:p w14:paraId="6032EAD4" w14:textId="0301A80A" w:rsidR="0022138A" w:rsidRPr="00533FCB" w:rsidRDefault="0022138A" w:rsidP="00533FCB">
            <w:pPr>
              <w:pStyle w:val="ListParagraph"/>
              <w:spacing w:after="160"/>
              <w:ind w:left="360"/>
              <w:rPr>
                <w:rFonts w:cs="Arial"/>
              </w:rPr>
            </w:pPr>
            <w:r w:rsidRPr="00533FCB">
              <w:rPr>
                <w:rFonts w:cs="Arial"/>
              </w:rPr>
              <w:t xml:space="preserve">Discipline-specific discussion about the </w:t>
            </w:r>
            <w:r w:rsidR="00343C4C" w:rsidRPr="00533FCB">
              <w:rPr>
                <w:rFonts w:cs="Arial"/>
              </w:rPr>
              <w:t>issues in the management of MS and</w:t>
            </w:r>
            <w:r w:rsidRPr="00533FCB">
              <w:rPr>
                <w:rFonts w:cs="Arial"/>
              </w:rPr>
              <w:t xml:space="preserve"> planning for the examination.</w:t>
            </w:r>
            <w:r w:rsidR="00343C4C" w:rsidRPr="00533FCB">
              <w:rPr>
                <w:rFonts w:cs="Arial"/>
              </w:rPr>
              <w:t xml:space="preserve"> The students are provided with readings necessary to support the discussion.  This session uses a variation of the flipped classroom </w:t>
            </w:r>
            <w:r w:rsidR="00F04814" w:rsidRPr="00533FCB">
              <w:rPr>
                <w:rFonts w:cs="Arial"/>
              </w:rPr>
              <w:t xml:space="preserve">approach, </w:t>
            </w:r>
            <w:r w:rsidR="00343C4C" w:rsidRPr="00533FCB">
              <w:rPr>
                <w:rFonts w:cs="Arial"/>
              </w:rPr>
              <w:t>where students are expected to come prepared to discuss management issues and construct the examination p</w:t>
            </w:r>
            <w:r w:rsidR="0031258C" w:rsidRPr="00533FCB">
              <w:rPr>
                <w:rFonts w:cs="Arial"/>
              </w:rPr>
              <w:t>lan</w:t>
            </w:r>
            <w:r w:rsidR="00343C4C" w:rsidRPr="00533FCB">
              <w:rPr>
                <w:rFonts w:cs="Arial"/>
              </w:rPr>
              <w:t>.</w:t>
            </w:r>
            <w:r w:rsidR="00C779A0" w:rsidRPr="00533FCB">
              <w:rPr>
                <w:rFonts w:cs="Arial"/>
              </w:rPr>
              <w:t xml:space="preserve"> During the session, the students work collaboratively to generate the examination strategy that will be implemented with the health care mentor.</w:t>
            </w:r>
          </w:p>
        </w:tc>
      </w:tr>
      <w:tr w:rsidR="0022138A" w:rsidRPr="00533FCB" w14:paraId="58C0C2F9" w14:textId="77777777" w:rsidTr="0022138A">
        <w:trPr>
          <w:trHeight w:val="745"/>
        </w:trPr>
        <w:tc>
          <w:tcPr>
            <w:tcW w:w="3235" w:type="dxa"/>
            <w:tcBorders>
              <w:bottom w:val="single" w:sz="4" w:space="0" w:color="999999" w:themeColor="text1" w:themeTint="66"/>
            </w:tcBorders>
            <w:hideMark/>
          </w:tcPr>
          <w:p w14:paraId="4FC65564" w14:textId="77777777" w:rsidR="0022138A" w:rsidRPr="00533FCB" w:rsidRDefault="0022138A" w:rsidP="00533FCB">
            <w:pPr>
              <w:pStyle w:val="ListParagraph"/>
              <w:spacing w:after="160"/>
              <w:ind w:left="360"/>
              <w:rPr>
                <w:rFonts w:cs="Arial"/>
              </w:rPr>
            </w:pPr>
            <w:proofErr w:type="spellStart"/>
            <w:r w:rsidRPr="00533FCB">
              <w:rPr>
                <w:rFonts w:cs="Arial"/>
              </w:rPr>
              <w:t>Interprofessional</w:t>
            </w:r>
            <w:proofErr w:type="spellEnd"/>
            <w:r w:rsidRPr="00533FCB">
              <w:rPr>
                <w:rFonts w:cs="Arial"/>
              </w:rPr>
              <w:t xml:space="preserve"> Examination</w:t>
            </w:r>
          </w:p>
        </w:tc>
        <w:tc>
          <w:tcPr>
            <w:tcW w:w="1603" w:type="dxa"/>
            <w:tcBorders>
              <w:bottom w:val="single" w:sz="4" w:space="0" w:color="999999" w:themeColor="text1" w:themeTint="66"/>
            </w:tcBorders>
            <w:hideMark/>
          </w:tcPr>
          <w:p w14:paraId="06C6CA21" w14:textId="77777777" w:rsidR="0022138A" w:rsidRPr="00533FCB" w:rsidRDefault="0022138A" w:rsidP="00533FCB">
            <w:pPr>
              <w:pStyle w:val="ListParagraph"/>
              <w:spacing w:after="160"/>
              <w:ind w:left="360"/>
              <w:jc w:val="center"/>
              <w:rPr>
                <w:rFonts w:cs="Arial"/>
              </w:rPr>
            </w:pPr>
            <w:r w:rsidRPr="00533FCB">
              <w:rPr>
                <w:rFonts w:cs="Arial"/>
              </w:rPr>
              <w:t>60-90 Minutes</w:t>
            </w:r>
          </w:p>
        </w:tc>
        <w:tc>
          <w:tcPr>
            <w:tcW w:w="5597" w:type="dxa"/>
            <w:tcBorders>
              <w:bottom w:val="single" w:sz="4" w:space="0" w:color="999999" w:themeColor="text1" w:themeTint="66"/>
            </w:tcBorders>
            <w:hideMark/>
          </w:tcPr>
          <w:p w14:paraId="1344FD94" w14:textId="1B9D980E" w:rsidR="0022138A" w:rsidRPr="00533FCB" w:rsidRDefault="0022138A" w:rsidP="00533FCB">
            <w:pPr>
              <w:pStyle w:val="ListParagraph"/>
              <w:spacing w:after="160"/>
              <w:ind w:left="360"/>
              <w:rPr>
                <w:rFonts w:cs="Arial"/>
              </w:rPr>
            </w:pPr>
            <w:r w:rsidRPr="00533FCB">
              <w:rPr>
                <w:rFonts w:cs="Arial"/>
              </w:rPr>
              <w:t xml:space="preserve">Students </w:t>
            </w:r>
            <w:r w:rsidR="00C779A0" w:rsidRPr="00533FCB">
              <w:rPr>
                <w:rFonts w:cs="Arial"/>
              </w:rPr>
              <w:t>we</w:t>
            </w:r>
            <w:r w:rsidRPr="00533FCB">
              <w:rPr>
                <w:rFonts w:cs="Arial"/>
              </w:rPr>
              <w:t xml:space="preserve">re assigned to </w:t>
            </w:r>
            <w:proofErr w:type="spellStart"/>
            <w:r w:rsidRPr="00533FCB">
              <w:rPr>
                <w:rFonts w:cs="Arial"/>
              </w:rPr>
              <w:t>interprofessional</w:t>
            </w:r>
            <w:proofErr w:type="spellEnd"/>
            <w:r w:rsidRPr="00533FCB">
              <w:rPr>
                <w:rFonts w:cs="Arial"/>
              </w:rPr>
              <w:t xml:space="preserve"> teams to </w:t>
            </w:r>
            <w:r w:rsidR="0031258C" w:rsidRPr="00533FCB">
              <w:rPr>
                <w:rFonts w:cs="Arial"/>
              </w:rPr>
              <w:t xml:space="preserve">collaboratively </w:t>
            </w:r>
            <w:r w:rsidRPr="00533FCB">
              <w:rPr>
                <w:rFonts w:cs="Arial"/>
              </w:rPr>
              <w:t>exam</w:t>
            </w:r>
            <w:r w:rsidR="0031258C" w:rsidRPr="00533FCB">
              <w:rPr>
                <w:rFonts w:cs="Arial"/>
              </w:rPr>
              <w:t>ine</w:t>
            </w:r>
            <w:r w:rsidRPr="00533FCB">
              <w:rPr>
                <w:rFonts w:cs="Arial"/>
              </w:rPr>
              <w:t xml:space="preserve"> the HCM.</w:t>
            </w:r>
            <w:r w:rsidR="00E22DA9" w:rsidRPr="00533FCB">
              <w:rPr>
                <w:rFonts w:cs="Arial"/>
              </w:rPr>
              <w:t xml:space="preserve"> Each team has a maximum of 2 students from each </w:t>
            </w:r>
            <w:r w:rsidR="00F04814" w:rsidRPr="00533FCB">
              <w:rPr>
                <w:rFonts w:cs="Arial"/>
              </w:rPr>
              <w:t>discipline, which</w:t>
            </w:r>
            <w:r w:rsidR="00E22DA9" w:rsidRPr="00533FCB">
              <w:rPr>
                <w:rFonts w:cs="Arial"/>
              </w:rPr>
              <w:t xml:space="preserve"> provides opportunities of peer support </w:t>
            </w:r>
            <w:r w:rsidR="00E83B45" w:rsidRPr="00533FCB">
              <w:rPr>
                <w:rFonts w:cs="Arial"/>
              </w:rPr>
              <w:t xml:space="preserve">and consultation </w:t>
            </w:r>
            <w:r w:rsidR="00E22DA9" w:rsidRPr="00533FCB">
              <w:rPr>
                <w:rFonts w:cs="Arial"/>
              </w:rPr>
              <w:t>during the examination process</w:t>
            </w:r>
            <w:r w:rsidR="00F04814" w:rsidRPr="00533FCB">
              <w:rPr>
                <w:rFonts w:cs="Arial"/>
              </w:rPr>
              <w:t xml:space="preserve"> and ensures that no one discipline can dominate the interaction</w:t>
            </w:r>
            <w:r w:rsidR="00E22DA9" w:rsidRPr="00533FCB">
              <w:rPr>
                <w:rFonts w:cs="Arial"/>
              </w:rPr>
              <w:t>.</w:t>
            </w:r>
            <w:r w:rsidR="00C779A0" w:rsidRPr="00533FCB">
              <w:rPr>
                <w:rFonts w:cs="Arial"/>
              </w:rPr>
              <w:t xml:space="preserve"> Physical therapy and nursing students worked together to complete an </w:t>
            </w:r>
            <w:proofErr w:type="spellStart"/>
            <w:r w:rsidR="00C779A0" w:rsidRPr="00533FCB">
              <w:rPr>
                <w:rFonts w:cs="Arial"/>
              </w:rPr>
              <w:t>interprofessional</w:t>
            </w:r>
            <w:proofErr w:type="spellEnd"/>
            <w:r w:rsidR="00C779A0" w:rsidRPr="00533FCB">
              <w:rPr>
                <w:rFonts w:cs="Arial"/>
              </w:rPr>
              <w:t xml:space="preserve"> examination; social work and clinical psychology students collaborated </w:t>
            </w:r>
            <w:r w:rsidR="00C049FE" w:rsidRPr="00533FCB">
              <w:rPr>
                <w:rFonts w:cs="Arial"/>
              </w:rPr>
              <w:t xml:space="preserve">during their examination.  Each </w:t>
            </w:r>
            <w:proofErr w:type="spellStart"/>
            <w:r w:rsidR="00C049FE" w:rsidRPr="00533FCB">
              <w:rPr>
                <w:rFonts w:cs="Arial"/>
              </w:rPr>
              <w:t>interprofessional</w:t>
            </w:r>
            <w:proofErr w:type="spellEnd"/>
            <w:r w:rsidR="00C049FE" w:rsidRPr="00533FCB">
              <w:rPr>
                <w:rFonts w:cs="Arial"/>
              </w:rPr>
              <w:t xml:space="preserve"> team had up to 90 minutes to complete the examination or evaluation of the HCM.</w:t>
            </w:r>
          </w:p>
        </w:tc>
      </w:tr>
      <w:tr w:rsidR="0022138A" w:rsidRPr="00533FCB" w14:paraId="5AE6C285" w14:textId="77777777" w:rsidTr="0022138A">
        <w:trPr>
          <w:trHeight w:val="763"/>
        </w:trPr>
        <w:tc>
          <w:tcPr>
            <w:tcW w:w="3235" w:type="dxa"/>
            <w:hideMark/>
          </w:tcPr>
          <w:p w14:paraId="7604AABD" w14:textId="77777777" w:rsidR="0022138A" w:rsidRPr="00533FCB" w:rsidRDefault="0022138A" w:rsidP="00533FCB">
            <w:pPr>
              <w:pStyle w:val="ListParagraph"/>
              <w:spacing w:after="160"/>
              <w:ind w:left="360"/>
              <w:rPr>
                <w:rFonts w:cs="Arial"/>
              </w:rPr>
            </w:pPr>
            <w:r w:rsidRPr="00533FCB">
              <w:rPr>
                <w:rFonts w:cs="Arial"/>
              </w:rPr>
              <w:t xml:space="preserve">Discipline-specific Planning for the </w:t>
            </w:r>
            <w:proofErr w:type="spellStart"/>
            <w:r w:rsidRPr="00533FCB">
              <w:rPr>
                <w:rFonts w:cs="Arial"/>
              </w:rPr>
              <w:t>Interprofessional</w:t>
            </w:r>
            <w:proofErr w:type="spellEnd"/>
            <w:r w:rsidRPr="00533FCB">
              <w:rPr>
                <w:rFonts w:cs="Arial"/>
              </w:rPr>
              <w:t xml:space="preserve"> Team Meeting</w:t>
            </w:r>
          </w:p>
        </w:tc>
        <w:tc>
          <w:tcPr>
            <w:tcW w:w="1603" w:type="dxa"/>
            <w:hideMark/>
          </w:tcPr>
          <w:p w14:paraId="2C16FE29" w14:textId="77777777" w:rsidR="0022138A" w:rsidRPr="00533FCB" w:rsidRDefault="0022138A" w:rsidP="00533FCB">
            <w:pPr>
              <w:pStyle w:val="ListParagraph"/>
              <w:spacing w:after="160"/>
              <w:ind w:left="360"/>
              <w:jc w:val="center"/>
              <w:rPr>
                <w:rFonts w:cs="Arial"/>
              </w:rPr>
            </w:pPr>
            <w:r w:rsidRPr="00533FCB">
              <w:rPr>
                <w:rFonts w:cs="Arial"/>
              </w:rPr>
              <w:t>30 Minutes</w:t>
            </w:r>
          </w:p>
        </w:tc>
        <w:tc>
          <w:tcPr>
            <w:tcW w:w="5597" w:type="dxa"/>
            <w:hideMark/>
          </w:tcPr>
          <w:p w14:paraId="09213B25" w14:textId="07DF2143" w:rsidR="0022138A" w:rsidRPr="00533FCB" w:rsidRDefault="00F04814" w:rsidP="00533FCB">
            <w:pPr>
              <w:pStyle w:val="ListParagraph"/>
              <w:spacing w:after="160"/>
              <w:ind w:left="360"/>
              <w:rPr>
                <w:rFonts w:cs="Arial"/>
              </w:rPr>
            </w:pPr>
            <w:r w:rsidRPr="00533FCB">
              <w:rPr>
                <w:rFonts w:cs="Arial"/>
              </w:rPr>
              <w:t xml:space="preserve">The students meet with their peers </w:t>
            </w:r>
            <w:r w:rsidR="008D2051" w:rsidRPr="00533FCB">
              <w:rPr>
                <w:rFonts w:cs="Arial"/>
              </w:rPr>
              <w:t xml:space="preserve">from their own discipline </w:t>
            </w:r>
            <w:r w:rsidRPr="00533FCB">
              <w:rPr>
                <w:rFonts w:cs="Arial"/>
              </w:rPr>
              <w:t>to engage in d</w:t>
            </w:r>
            <w:r w:rsidR="0022138A" w:rsidRPr="00533FCB">
              <w:rPr>
                <w:rFonts w:cs="Arial"/>
              </w:rPr>
              <w:t xml:space="preserve">iscipline-specific planning for the </w:t>
            </w:r>
            <w:proofErr w:type="spellStart"/>
            <w:r w:rsidR="0022138A" w:rsidRPr="00533FCB">
              <w:rPr>
                <w:rFonts w:cs="Arial"/>
              </w:rPr>
              <w:t>interprofessional</w:t>
            </w:r>
            <w:proofErr w:type="spellEnd"/>
            <w:r w:rsidR="0022138A" w:rsidRPr="00533FCB">
              <w:rPr>
                <w:rFonts w:cs="Arial"/>
              </w:rPr>
              <w:t xml:space="preserve"> team meeting.</w:t>
            </w:r>
            <w:r w:rsidRPr="00533FCB">
              <w:rPr>
                <w:rFonts w:cs="Arial"/>
              </w:rPr>
              <w:t xml:space="preserve"> At this meeting, the students identify the information that will be shared with the other disciplines at the </w:t>
            </w:r>
            <w:proofErr w:type="spellStart"/>
            <w:r w:rsidRPr="00533FCB">
              <w:rPr>
                <w:rFonts w:cs="Arial"/>
              </w:rPr>
              <w:t>interprofessional</w:t>
            </w:r>
            <w:proofErr w:type="spellEnd"/>
            <w:r w:rsidRPr="00533FCB">
              <w:rPr>
                <w:rFonts w:cs="Arial"/>
              </w:rPr>
              <w:t xml:space="preserve"> team meeting.  The students also </w:t>
            </w:r>
            <w:r w:rsidRPr="00533FCB">
              <w:rPr>
                <w:rFonts w:cs="Arial"/>
              </w:rPr>
              <w:lastRenderedPageBreak/>
              <w:t>begin to identify discipline-specific concerns or problems that will also be shared.</w:t>
            </w:r>
          </w:p>
        </w:tc>
      </w:tr>
      <w:tr w:rsidR="0022138A" w:rsidRPr="00533FCB" w14:paraId="235CED6B" w14:textId="77777777" w:rsidTr="0022138A">
        <w:trPr>
          <w:trHeight w:val="763"/>
        </w:trPr>
        <w:tc>
          <w:tcPr>
            <w:tcW w:w="3235" w:type="dxa"/>
            <w:tcBorders>
              <w:bottom w:val="single" w:sz="4" w:space="0" w:color="auto"/>
            </w:tcBorders>
          </w:tcPr>
          <w:p w14:paraId="06413C38" w14:textId="3F0CF784" w:rsidR="0022138A" w:rsidRPr="00533FCB" w:rsidRDefault="0022138A" w:rsidP="00533FCB">
            <w:pPr>
              <w:pStyle w:val="ListParagraph"/>
              <w:spacing w:after="160"/>
              <w:ind w:left="360"/>
              <w:rPr>
                <w:rFonts w:cs="Arial"/>
              </w:rPr>
            </w:pPr>
            <w:proofErr w:type="spellStart"/>
            <w:r w:rsidRPr="00533FCB">
              <w:rPr>
                <w:rFonts w:cs="Arial"/>
              </w:rPr>
              <w:lastRenderedPageBreak/>
              <w:t>Interprofessional</w:t>
            </w:r>
            <w:proofErr w:type="spellEnd"/>
            <w:r w:rsidRPr="00533FCB">
              <w:rPr>
                <w:rFonts w:cs="Arial"/>
              </w:rPr>
              <w:t xml:space="preserve"> Team Meeting</w:t>
            </w:r>
          </w:p>
        </w:tc>
        <w:tc>
          <w:tcPr>
            <w:tcW w:w="1603" w:type="dxa"/>
            <w:tcBorders>
              <w:bottom w:val="single" w:sz="4" w:space="0" w:color="auto"/>
            </w:tcBorders>
          </w:tcPr>
          <w:p w14:paraId="0FAFECF7" w14:textId="6F804E07" w:rsidR="0022138A" w:rsidRPr="00533FCB" w:rsidRDefault="0022138A" w:rsidP="00533FCB">
            <w:pPr>
              <w:pStyle w:val="ListParagraph"/>
              <w:spacing w:after="160"/>
              <w:ind w:left="360"/>
              <w:jc w:val="center"/>
              <w:rPr>
                <w:rFonts w:cs="Arial"/>
              </w:rPr>
            </w:pPr>
            <w:r w:rsidRPr="00533FCB">
              <w:rPr>
                <w:rFonts w:cs="Arial"/>
              </w:rPr>
              <w:t>3 Hours</w:t>
            </w:r>
          </w:p>
        </w:tc>
        <w:tc>
          <w:tcPr>
            <w:tcW w:w="5597" w:type="dxa"/>
            <w:tcBorders>
              <w:bottom w:val="single" w:sz="4" w:space="0" w:color="auto"/>
            </w:tcBorders>
          </w:tcPr>
          <w:p w14:paraId="22D29ACB" w14:textId="0155DB13" w:rsidR="0031258C" w:rsidRPr="00533FCB" w:rsidRDefault="0022138A" w:rsidP="00533FCB">
            <w:pPr>
              <w:spacing w:after="120"/>
              <w:ind w:left="360" w:hanging="1"/>
              <w:rPr>
                <w:rFonts w:cs="Arial"/>
              </w:rPr>
            </w:pPr>
            <w:r w:rsidRPr="00533FCB">
              <w:rPr>
                <w:rFonts w:cs="Arial"/>
              </w:rPr>
              <w:t xml:space="preserve">Students meet in </w:t>
            </w:r>
            <w:proofErr w:type="spellStart"/>
            <w:r w:rsidR="00E22DA9" w:rsidRPr="00533FCB">
              <w:rPr>
                <w:rFonts w:cs="Arial"/>
              </w:rPr>
              <w:t>interprofessional</w:t>
            </w:r>
            <w:proofErr w:type="spellEnd"/>
            <w:r w:rsidR="00E22DA9" w:rsidRPr="00533FCB">
              <w:rPr>
                <w:rFonts w:cs="Arial"/>
              </w:rPr>
              <w:t xml:space="preserve"> </w:t>
            </w:r>
            <w:r w:rsidRPr="00533FCB">
              <w:rPr>
                <w:rFonts w:cs="Arial"/>
              </w:rPr>
              <w:t xml:space="preserve">groups to present findings from the </w:t>
            </w:r>
            <w:r w:rsidR="00F27F93" w:rsidRPr="00533FCB">
              <w:rPr>
                <w:rFonts w:cs="Arial"/>
              </w:rPr>
              <w:t xml:space="preserve">discipline-specific </w:t>
            </w:r>
            <w:r w:rsidRPr="00533FCB">
              <w:rPr>
                <w:rFonts w:cs="Arial"/>
              </w:rPr>
              <w:t>physical examination and arrive at recommendations for care.</w:t>
            </w:r>
            <w:r w:rsidR="0031258C" w:rsidRPr="00533FCB">
              <w:rPr>
                <w:rFonts w:cs="Arial"/>
              </w:rPr>
              <w:t xml:space="preserve"> Faculty were present to observe the interaction and act as process and content-expert consultants only if necessary and requested.  The </w:t>
            </w:r>
            <w:proofErr w:type="spellStart"/>
            <w:r w:rsidR="0031258C" w:rsidRPr="00533FCB">
              <w:rPr>
                <w:rFonts w:cs="Arial"/>
              </w:rPr>
              <w:t>interprofessional</w:t>
            </w:r>
            <w:proofErr w:type="spellEnd"/>
            <w:r w:rsidR="0031258C" w:rsidRPr="00533FCB">
              <w:rPr>
                <w:rFonts w:cs="Arial"/>
              </w:rPr>
              <w:t xml:space="preserve"> care plan developed had to include problems that all disciplines could address</w:t>
            </w:r>
            <w:r w:rsidR="00BD7219">
              <w:rPr>
                <w:rFonts w:cs="Arial"/>
              </w:rPr>
              <w:t xml:space="preserve"> (Appendix B</w:t>
            </w:r>
            <w:r w:rsidR="0031258C" w:rsidRPr="00533FCB">
              <w:rPr>
                <w:rFonts w:cs="Arial"/>
              </w:rPr>
              <w:t xml:space="preserve">). The HCM, who is a key part of the </w:t>
            </w:r>
            <w:proofErr w:type="spellStart"/>
            <w:r w:rsidR="0031258C" w:rsidRPr="00533FCB">
              <w:rPr>
                <w:rFonts w:cs="Arial"/>
              </w:rPr>
              <w:t>interprofessional</w:t>
            </w:r>
            <w:proofErr w:type="spellEnd"/>
            <w:r w:rsidR="0031258C" w:rsidRPr="00533FCB">
              <w:rPr>
                <w:rFonts w:cs="Arial"/>
              </w:rPr>
              <w:t xml:space="preserve"> team, joined the group later in the evening to discuss the proposed care plan and participated in the group debriefing. The reflective group debriefing, which included the HCMs, was a critical element of reinforcing all of the learning objectives. </w:t>
            </w:r>
          </w:p>
          <w:p w14:paraId="6B22712E" w14:textId="7FF0E1A1" w:rsidR="0022138A" w:rsidRPr="00533FCB" w:rsidRDefault="0022138A" w:rsidP="00533FCB">
            <w:pPr>
              <w:pStyle w:val="ListParagraph"/>
              <w:spacing w:after="160"/>
              <w:ind w:left="360"/>
              <w:rPr>
                <w:rFonts w:cs="Arial"/>
              </w:rPr>
            </w:pPr>
          </w:p>
        </w:tc>
      </w:tr>
    </w:tbl>
    <w:p w14:paraId="61C15E7A" w14:textId="77777777" w:rsidR="0022138A" w:rsidRPr="00533FCB" w:rsidRDefault="0022138A" w:rsidP="00533FCB">
      <w:pPr>
        <w:pStyle w:val="Caption"/>
        <w:spacing w:line="276" w:lineRule="auto"/>
        <w:ind w:left="360"/>
        <w:rPr>
          <w:rFonts w:asciiTheme="minorHAnsi" w:eastAsiaTheme="minorHAnsi" w:hAnsiTheme="minorHAnsi" w:cs="Arial"/>
          <w:i w:val="0"/>
          <w:sz w:val="22"/>
          <w:szCs w:val="22"/>
        </w:rPr>
      </w:pPr>
    </w:p>
    <w:p w14:paraId="26628810" w14:textId="5C334BCD" w:rsidR="00D331CA" w:rsidRPr="00533FCB" w:rsidRDefault="00D331CA" w:rsidP="00533FCB">
      <w:pPr>
        <w:spacing w:after="160"/>
        <w:ind w:left="360"/>
      </w:pPr>
      <w:r w:rsidRPr="00533FCB">
        <w:br w:type="page"/>
      </w:r>
    </w:p>
    <w:p w14:paraId="36EFEF95" w14:textId="77777777" w:rsidR="00E83B45" w:rsidRPr="00533FCB" w:rsidRDefault="00E83B45" w:rsidP="00533FCB">
      <w:pPr>
        <w:ind w:left="360"/>
      </w:pPr>
    </w:p>
    <w:p w14:paraId="414FB21A" w14:textId="77777777" w:rsidR="0022138A" w:rsidRPr="00533FCB" w:rsidRDefault="0022138A" w:rsidP="00533FCB">
      <w:pPr>
        <w:pStyle w:val="Caption"/>
        <w:keepNext/>
        <w:spacing w:line="276" w:lineRule="auto"/>
        <w:ind w:left="360"/>
        <w:rPr>
          <w:rFonts w:asciiTheme="minorHAnsi" w:hAnsiTheme="minorHAnsi" w:cs="Arial"/>
          <w:b/>
          <w:i w:val="0"/>
          <w:color w:val="auto"/>
          <w:sz w:val="22"/>
          <w:szCs w:val="22"/>
        </w:rPr>
      </w:pPr>
      <w:r w:rsidRPr="00533FCB">
        <w:rPr>
          <w:rFonts w:asciiTheme="minorHAnsi" w:hAnsiTheme="minorHAnsi" w:cs="Arial"/>
          <w:b/>
          <w:i w:val="0"/>
          <w:color w:val="auto"/>
          <w:sz w:val="22"/>
          <w:szCs w:val="22"/>
        </w:rPr>
        <w:t xml:space="preserve">Table </w:t>
      </w:r>
      <w:r w:rsidRPr="00533FCB">
        <w:rPr>
          <w:rFonts w:asciiTheme="minorHAnsi" w:hAnsiTheme="minorHAnsi" w:cs="Arial"/>
          <w:b/>
          <w:i w:val="0"/>
          <w:color w:val="auto"/>
          <w:sz w:val="22"/>
          <w:szCs w:val="22"/>
        </w:rPr>
        <w:fldChar w:fldCharType="begin"/>
      </w:r>
      <w:r w:rsidRPr="00533FCB">
        <w:rPr>
          <w:rFonts w:asciiTheme="minorHAnsi" w:hAnsiTheme="minorHAnsi" w:cs="Arial"/>
          <w:b/>
          <w:i w:val="0"/>
          <w:color w:val="auto"/>
          <w:sz w:val="22"/>
          <w:szCs w:val="22"/>
        </w:rPr>
        <w:instrText xml:space="preserve"> SEQ Table \* ARABIC </w:instrText>
      </w:r>
      <w:r w:rsidRPr="00533FCB">
        <w:rPr>
          <w:rFonts w:asciiTheme="minorHAnsi" w:hAnsiTheme="minorHAnsi" w:cs="Arial"/>
          <w:b/>
          <w:i w:val="0"/>
          <w:color w:val="auto"/>
          <w:sz w:val="22"/>
          <w:szCs w:val="22"/>
        </w:rPr>
        <w:fldChar w:fldCharType="separate"/>
      </w:r>
      <w:r w:rsidR="00BB47CD" w:rsidRPr="00533FCB">
        <w:rPr>
          <w:rFonts w:asciiTheme="minorHAnsi" w:hAnsiTheme="minorHAnsi" w:cs="Arial"/>
          <w:b/>
          <w:i w:val="0"/>
          <w:noProof/>
          <w:color w:val="auto"/>
          <w:sz w:val="22"/>
          <w:szCs w:val="22"/>
        </w:rPr>
        <w:t>2</w:t>
      </w:r>
      <w:r w:rsidRPr="00533FCB">
        <w:rPr>
          <w:rFonts w:asciiTheme="minorHAnsi" w:hAnsiTheme="minorHAnsi" w:cs="Arial"/>
          <w:b/>
          <w:i w:val="0"/>
          <w:color w:val="auto"/>
          <w:sz w:val="22"/>
          <w:szCs w:val="22"/>
        </w:rPr>
        <w:fldChar w:fldCharType="end"/>
      </w:r>
      <w:r w:rsidRPr="00533FCB">
        <w:rPr>
          <w:rFonts w:asciiTheme="minorHAnsi" w:hAnsiTheme="minorHAnsi" w:cs="Arial"/>
          <w:b/>
          <w:i w:val="0"/>
          <w:color w:val="auto"/>
          <w:sz w:val="22"/>
          <w:szCs w:val="22"/>
        </w:rPr>
        <w:t xml:space="preserve">.  Summary of the Activities Completed During the </w:t>
      </w:r>
      <w:proofErr w:type="spellStart"/>
      <w:r w:rsidRPr="00533FCB">
        <w:rPr>
          <w:rFonts w:asciiTheme="minorHAnsi" w:hAnsiTheme="minorHAnsi" w:cs="Arial"/>
          <w:b/>
          <w:i w:val="0"/>
          <w:color w:val="auto"/>
          <w:sz w:val="22"/>
          <w:szCs w:val="22"/>
        </w:rPr>
        <w:t>Interprofessional</w:t>
      </w:r>
      <w:proofErr w:type="spellEnd"/>
      <w:r w:rsidRPr="00533FCB">
        <w:rPr>
          <w:rFonts w:asciiTheme="minorHAnsi" w:hAnsiTheme="minorHAnsi" w:cs="Arial"/>
          <w:b/>
          <w:i w:val="0"/>
          <w:color w:val="auto"/>
          <w:sz w:val="22"/>
          <w:szCs w:val="22"/>
        </w:rPr>
        <w:t xml:space="preserve"> Team Meeting</w:t>
      </w:r>
    </w:p>
    <w:tbl>
      <w:tblPr>
        <w:tblStyle w:val="GridTable1Light1"/>
        <w:tblW w:w="10435" w:type="dxa"/>
        <w:tblLook w:val="0420" w:firstRow="1" w:lastRow="0" w:firstColumn="0" w:lastColumn="0" w:noHBand="0" w:noVBand="1"/>
      </w:tblPr>
      <w:tblGrid>
        <w:gridCol w:w="731"/>
        <w:gridCol w:w="2774"/>
        <w:gridCol w:w="1901"/>
        <w:gridCol w:w="5029"/>
      </w:tblGrid>
      <w:tr w:rsidR="0022138A" w:rsidRPr="00533FCB" w14:paraId="1520C917" w14:textId="77777777" w:rsidTr="0077752E">
        <w:trPr>
          <w:cnfStyle w:val="100000000000" w:firstRow="1" w:lastRow="0" w:firstColumn="0" w:lastColumn="0" w:oddVBand="0" w:evenVBand="0" w:oddHBand="0" w:evenHBand="0" w:firstRowFirstColumn="0" w:firstRowLastColumn="0" w:lastRowFirstColumn="0" w:lastRowLastColumn="0"/>
          <w:trHeight w:val="530"/>
        </w:trPr>
        <w:tc>
          <w:tcPr>
            <w:tcW w:w="3505" w:type="dxa"/>
            <w:gridSpan w:val="2"/>
            <w:tcBorders>
              <w:top w:val="single" w:sz="4" w:space="0" w:color="auto"/>
            </w:tcBorders>
            <w:vAlign w:val="bottom"/>
            <w:hideMark/>
          </w:tcPr>
          <w:p w14:paraId="29706012" w14:textId="77777777" w:rsidR="0022138A" w:rsidRPr="00533FCB" w:rsidRDefault="0022138A" w:rsidP="00533FCB">
            <w:pPr>
              <w:ind w:left="360"/>
              <w:rPr>
                <w:rFonts w:cs="Arial"/>
              </w:rPr>
            </w:pPr>
            <w:r w:rsidRPr="00533FCB">
              <w:rPr>
                <w:rFonts w:cs="Arial"/>
              </w:rPr>
              <w:t>Tasks</w:t>
            </w:r>
          </w:p>
        </w:tc>
        <w:tc>
          <w:tcPr>
            <w:tcW w:w="1901" w:type="dxa"/>
            <w:tcBorders>
              <w:top w:val="single" w:sz="4" w:space="0" w:color="auto"/>
            </w:tcBorders>
            <w:vAlign w:val="bottom"/>
            <w:hideMark/>
          </w:tcPr>
          <w:p w14:paraId="57225719" w14:textId="77777777" w:rsidR="0022138A" w:rsidRPr="00533FCB" w:rsidRDefault="0022138A" w:rsidP="00533FCB">
            <w:pPr>
              <w:ind w:left="360"/>
              <w:rPr>
                <w:rFonts w:cs="Arial"/>
              </w:rPr>
            </w:pPr>
            <w:r w:rsidRPr="00533FCB">
              <w:rPr>
                <w:rFonts w:cs="Arial"/>
              </w:rPr>
              <w:t>Time</w:t>
            </w:r>
          </w:p>
        </w:tc>
        <w:tc>
          <w:tcPr>
            <w:tcW w:w="5029" w:type="dxa"/>
            <w:tcBorders>
              <w:top w:val="single" w:sz="4" w:space="0" w:color="auto"/>
            </w:tcBorders>
            <w:vAlign w:val="bottom"/>
            <w:hideMark/>
          </w:tcPr>
          <w:p w14:paraId="5B743BA3" w14:textId="77777777" w:rsidR="0022138A" w:rsidRPr="00533FCB" w:rsidRDefault="0022138A" w:rsidP="00533FCB">
            <w:pPr>
              <w:ind w:left="360"/>
              <w:rPr>
                <w:rFonts w:cs="Arial"/>
              </w:rPr>
            </w:pPr>
            <w:r w:rsidRPr="00533FCB">
              <w:rPr>
                <w:rFonts w:cs="Arial"/>
              </w:rPr>
              <w:t>Activities</w:t>
            </w:r>
          </w:p>
        </w:tc>
      </w:tr>
      <w:tr w:rsidR="0022138A" w:rsidRPr="00533FCB" w14:paraId="13512A34" w14:textId="77777777" w:rsidTr="0022138A">
        <w:trPr>
          <w:trHeight w:val="309"/>
        </w:trPr>
        <w:tc>
          <w:tcPr>
            <w:tcW w:w="731" w:type="dxa"/>
            <w:vMerge w:val="restart"/>
            <w:tcBorders>
              <w:bottom w:val="single" w:sz="4" w:space="0" w:color="auto"/>
            </w:tcBorders>
            <w:textDirection w:val="btLr"/>
            <w:vAlign w:val="center"/>
            <w:hideMark/>
          </w:tcPr>
          <w:p w14:paraId="25CF27E9" w14:textId="77777777" w:rsidR="0022138A" w:rsidRPr="00533FCB" w:rsidRDefault="0022138A" w:rsidP="00533FCB">
            <w:pPr>
              <w:ind w:left="360"/>
              <w:jc w:val="center"/>
              <w:rPr>
                <w:rFonts w:cs="Arial"/>
              </w:rPr>
            </w:pPr>
            <w:proofErr w:type="spellStart"/>
            <w:r w:rsidRPr="00533FCB">
              <w:rPr>
                <w:rFonts w:cs="Arial"/>
              </w:rPr>
              <w:t>Interprofessional</w:t>
            </w:r>
            <w:proofErr w:type="spellEnd"/>
            <w:r w:rsidRPr="00533FCB">
              <w:rPr>
                <w:rFonts w:cs="Arial"/>
              </w:rPr>
              <w:t xml:space="preserve"> Team Meeting</w:t>
            </w:r>
          </w:p>
        </w:tc>
        <w:tc>
          <w:tcPr>
            <w:tcW w:w="2774" w:type="dxa"/>
            <w:hideMark/>
          </w:tcPr>
          <w:p w14:paraId="173AE419" w14:textId="77777777" w:rsidR="0022138A" w:rsidRPr="00533FCB" w:rsidRDefault="0022138A" w:rsidP="00533FCB">
            <w:pPr>
              <w:spacing w:after="160"/>
              <w:ind w:left="360"/>
              <w:rPr>
                <w:rFonts w:cs="Arial"/>
              </w:rPr>
            </w:pPr>
            <w:r w:rsidRPr="00533FCB">
              <w:rPr>
                <w:rFonts w:cs="Arial"/>
              </w:rPr>
              <w:t>Introduction</w:t>
            </w:r>
          </w:p>
        </w:tc>
        <w:tc>
          <w:tcPr>
            <w:tcW w:w="1901" w:type="dxa"/>
            <w:hideMark/>
          </w:tcPr>
          <w:p w14:paraId="494D4D60" w14:textId="77777777" w:rsidR="0022138A" w:rsidRPr="00533FCB" w:rsidRDefault="0022138A" w:rsidP="00533FCB">
            <w:pPr>
              <w:pStyle w:val="ListParagraph"/>
              <w:spacing w:after="160"/>
              <w:ind w:left="360"/>
              <w:jc w:val="center"/>
              <w:rPr>
                <w:rFonts w:cs="Arial"/>
              </w:rPr>
            </w:pPr>
            <w:r w:rsidRPr="00533FCB">
              <w:rPr>
                <w:rFonts w:cs="Arial"/>
              </w:rPr>
              <w:t>15 Minutes</w:t>
            </w:r>
          </w:p>
        </w:tc>
        <w:tc>
          <w:tcPr>
            <w:tcW w:w="5029" w:type="dxa"/>
            <w:hideMark/>
          </w:tcPr>
          <w:p w14:paraId="359E41DA" w14:textId="77777777" w:rsidR="0022138A" w:rsidRPr="00533FCB" w:rsidRDefault="0022138A" w:rsidP="00533FCB">
            <w:pPr>
              <w:pStyle w:val="ListParagraph"/>
              <w:spacing w:after="160"/>
              <w:ind w:left="360"/>
              <w:rPr>
                <w:rFonts w:cs="Arial"/>
              </w:rPr>
            </w:pPr>
            <w:r w:rsidRPr="00533FCB">
              <w:rPr>
                <w:rFonts w:cs="Arial"/>
              </w:rPr>
              <w:t>Introduce the expectations for the day.</w:t>
            </w:r>
          </w:p>
        </w:tc>
      </w:tr>
      <w:tr w:rsidR="0022138A" w:rsidRPr="00533FCB" w14:paraId="13227016" w14:textId="77777777" w:rsidTr="0022138A">
        <w:trPr>
          <w:trHeight w:val="754"/>
        </w:trPr>
        <w:tc>
          <w:tcPr>
            <w:tcW w:w="0" w:type="auto"/>
            <w:vMerge/>
            <w:tcBorders>
              <w:bottom w:val="single" w:sz="4" w:space="0" w:color="auto"/>
            </w:tcBorders>
            <w:hideMark/>
          </w:tcPr>
          <w:p w14:paraId="2BCCD6D9" w14:textId="77777777" w:rsidR="0022138A" w:rsidRPr="00533FCB" w:rsidRDefault="0022138A" w:rsidP="00533FCB">
            <w:pPr>
              <w:pStyle w:val="ListParagraph"/>
              <w:spacing w:after="160"/>
              <w:ind w:left="360"/>
              <w:rPr>
                <w:rFonts w:cs="Arial"/>
              </w:rPr>
            </w:pPr>
          </w:p>
        </w:tc>
        <w:tc>
          <w:tcPr>
            <w:tcW w:w="2774" w:type="dxa"/>
            <w:hideMark/>
          </w:tcPr>
          <w:p w14:paraId="6C5B0105" w14:textId="77777777" w:rsidR="0022138A" w:rsidRPr="00533FCB" w:rsidRDefault="0022138A" w:rsidP="00533FCB">
            <w:pPr>
              <w:spacing w:after="160"/>
              <w:ind w:left="360"/>
              <w:rPr>
                <w:rFonts w:cs="Arial"/>
              </w:rPr>
            </w:pPr>
            <w:proofErr w:type="spellStart"/>
            <w:r w:rsidRPr="00533FCB">
              <w:rPr>
                <w:rFonts w:cs="Arial"/>
              </w:rPr>
              <w:t>Interprofessional</w:t>
            </w:r>
            <w:proofErr w:type="spellEnd"/>
            <w:r w:rsidRPr="00533FCB">
              <w:rPr>
                <w:rFonts w:cs="Arial"/>
              </w:rPr>
              <w:t xml:space="preserve"> Team Meeting</w:t>
            </w:r>
          </w:p>
        </w:tc>
        <w:tc>
          <w:tcPr>
            <w:tcW w:w="1901" w:type="dxa"/>
            <w:hideMark/>
          </w:tcPr>
          <w:p w14:paraId="7A4313E0" w14:textId="77777777" w:rsidR="0022138A" w:rsidRPr="00533FCB" w:rsidRDefault="0022138A" w:rsidP="00533FCB">
            <w:pPr>
              <w:pStyle w:val="ListParagraph"/>
              <w:spacing w:after="160"/>
              <w:ind w:left="360"/>
              <w:jc w:val="center"/>
              <w:rPr>
                <w:rFonts w:cs="Arial"/>
              </w:rPr>
            </w:pPr>
            <w:r w:rsidRPr="00533FCB">
              <w:rPr>
                <w:rFonts w:cs="Arial"/>
              </w:rPr>
              <w:t>60 Minutes</w:t>
            </w:r>
          </w:p>
        </w:tc>
        <w:tc>
          <w:tcPr>
            <w:tcW w:w="5029" w:type="dxa"/>
            <w:hideMark/>
          </w:tcPr>
          <w:p w14:paraId="7A5E6A56" w14:textId="32A55668" w:rsidR="0022138A" w:rsidRPr="00533FCB" w:rsidRDefault="0022138A" w:rsidP="00533FCB">
            <w:pPr>
              <w:pStyle w:val="ListParagraph"/>
              <w:spacing w:after="160"/>
              <w:ind w:left="360"/>
              <w:rPr>
                <w:rFonts w:cs="Arial"/>
              </w:rPr>
            </w:pPr>
            <w:r w:rsidRPr="00533FCB">
              <w:rPr>
                <w:rFonts w:cs="Arial"/>
              </w:rPr>
              <w:t xml:space="preserve">Share discipline-specific information and perspectives on the health status of the HCM.  From the meeting, the students develop an </w:t>
            </w:r>
            <w:proofErr w:type="spellStart"/>
            <w:r w:rsidRPr="00533FCB">
              <w:rPr>
                <w:rFonts w:cs="Arial"/>
              </w:rPr>
              <w:t>interprofessional</w:t>
            </w:r>
            <w:proofErr w:type="spellEnd"/>
            <w:r w:rsidRPr="00533FCB">
              <w:rPr>
                <w:rFonts w:cs="Arial"/>
              </w:rPr>
              <w:t xml:space="preserve"> plan of care for the HCMs that has goals toward which all disciplines can work.</w:t>
            </w:r>
          </w:p>
        </w:tc>
      </w:tr>
      <w:tr w:rsidR="0022138A" w:rsidRPr="00533FCB" w14:paraId="781147F0" w14:textId="77777777" w:rsidTr="0022138A">
        <w:trPr>
          <w:trHeight w:val="385"/>
        </w:trPr>
        <w:tc>
          <w:tcPr>
            <w:tcW w:w="0" w:type="auto"/>
            <w:vMerge/>
            <w:tcBorders>
              <w:bottom w:val="single" w:sz="4" w:space="0" w:color="auto"/>
            </w:tcBorders>
            <w:hideMark/>
          </w:tcPr>
          <w:p w14:paraId="16BE6938" w14:textId="77777777" w:rsidR="0022138A" w:rsidRPr="00533FCB" w:rsidRDefault="0022138A" w:rsidP="00533FCB">
            <w:pPr>
              <w:pStyle w:val="ListParagraph"/>
              <w:spacing w:after="160"/>
              <w:ind w:left="360"/>
              <w:rPr>
                <w:rFonts w:cs="Arial"/>
              </w:rPr>
            </w:pPr>
          </w:p>
        </w:tc>
        <w:tc>
          <w:tcPr>
            <w:tcW w:w="2774" w:type="dxa"/>
            <w:hideMark/>
          </w:tcPr>
          <w:p w14:paraId="21D758FF" w14:textId="77777777" w:rsidR="0022138A" w:rsidRPr="00533FCB" w:rsidRDefault="0022138A" w:rsidP="00533FCB">
            <w:pPr>
              <w:spacing w:after="160"/>
              <w:ind w:left="360"/>
              <w:rPr>
                <w:rFonts w:cs="Arial"/>
              </w:rPr>
            </w:pPr>
            <w:r w:rsidRPr="00533FCB">
              <w:rPr>
                <w:rFonts w:cs="Arial"/>
              </w:rPr>
              <w:t>Planning for the Meeting with HCM</w:t>
            </w:r>
          </w:p>
        </w:tc>
        <w:tc>
          <w:tcPr>
            <w:tcW w:w="1901" w:type="dxa"/>
            <w:hideMark/>
          </w:tcPr>
          <w:p w14:paraId="5D7DE555" w14:textId="77777777" w:rsidR="0022138A" w:rsidRPr="00533FCB" w:rsidRDefault="0022138A" w:rsidP="00533FCB">
            <w:pPr>
              <w:pStyle w:val="ListParagraph"/>
              <w:spacing w:after="160"/>
              <w:ind w:left="360"/>
              <w:jc w:val="center"/>
              <w:rPr>
                <w:rFonts w:cs="Arial"/>
              </w:rPr>
            </w:pPr>
            <w:r w:rsidRPr="00533FCB">
              <w:rPr>
                <w:rFonts w:cs="Arial"/>
              </w:rPr>
              <w:t>30 Minutes</w:t>
            </w:r>
          </w:p>
        </w:tc>
        <w:tc>
          <w:tcPr>
            <w:tcW w:w="5029" w:type="dxa"/>
            <w:hideMark/>
          </w:tcPr>
          <w:p w14:paraId="41D3DEA5" w14:textId="77777777" w:rsidR="0022138A" w:rsidRPr="00533FCB" w:rsidRDefault="0022138A" w:rsidP="00533FCB">
            <w:pPr>
              <w:pStyle w:val="ListParagraph"/>
              <w:spacing w:after="160"/>
              <w:ind w:left="360"/>
              <w:rPr>
                <w:rFonts w:cs="Arial"/>
              </w:rPr>
            </w:pPr>
            <w:proofErr w:type="spellStart"/>
            <w:r w:rsidRPr="00533FCB">
              <w:rPr>
                <w:rFonts w:cs="Arial"/>
              </w:rPr>
              <w:t>Interprofessional</w:t>
            </w:r>
            <w:proofErr w:type="spellEnd"/>
            <w:r w:rsidRPr="00533FCB">
              <w:rPr>
                <w:rFonts w:cs="Arial"/>
              </w:rPr>
              <w:t xml:space="preserve"> teams plan what and how to share information with the HCM.</w:t>
            </w:r>
          </w:p>
        </w:tc>
      </w:tr>
      <w:tr w:rsidR="0022138A" w:rsidRPr="00533FCB" w14:paraId="307908AF" w14:textId="77777777" w:rsidTr="0022138A">
        <w:trPr>
          <w:trHeight w:val="511"/>
        </w:trPr>
        <w:tc>
          <w:tcPr>
            <w:tcW w:w="0" w:type="auto"/>
            <w:vMerge/>
            <w:tcBorders>
              <w:bottom w:val="single" w:sz="4" w:space="0" w:color="auto"/>
            </w:tcBorders>
            <w:hideMark/>
          </w:tcPr>
          <w:p w14:paraId="4A01C6E3" w14:textId="77777777" w:rsidR="0022138A" w:rsidRPr="00533FCB" w:rsidRDefault="0022138A" w:rsidP="00533FCB">
            <w:pPr>
              <w:pStyle w:val="ListParagraph"/>
              <w:spacing w:after="160"/>
              <w:ind w:left="360"/>
              <w:rPr>
                <w:rFonts w:cs="Arial"/>
              </w:rPr>
            </w:pPr>
          </w:p>
        </w:tc>
        <w:tc>
          <w:tcPr>
            <w:tcW w:w="2774" w:type="dxa"/>
            <w:tcBorders>
              <w:bottom w:val="single" w:sz="4" w:space="0" w:color="999999" w:themeColor="text1" w:themeTint="66"/>
            </w:tcBorders>
            <w:hideMark/>
          </w:tcPr>
          <w:p w14:paraId="4137C051" w14:textId="77777777" w:rsidR="0022138A" w:rsidRPr="00533FCB" w:rsidRDefault="0022138A" w:rsidP="00533FCB">
            <w:pPr>
              <w:pStyle w:val="ListParagraph"/>
              <w:spacing w:after="160"/>
              <w:ind w:left="360"/>
              <w:rPr>
                <w:rFonts w:cs="Arial"/>
              </w:rPr>
            </w:pPr>
            <w:r w:rsidRPr="00533FCB">
              <w:rPr>
                <w:rFonts w:cs="Arial"/>
              </w:rPr>
              <w:t>Information Sharing with the HCM</w:t>
            </w:r>
          </w:p>
        </w:tc>
        <w:tc>
          <w:tcPr>
            <w:tcW w:w="1901" w:type="dxa"/>
            <w:tcBorders>
              <w:bottom w:val="single" w:sz="4" w:space="0" w:color="999999" w:themeColor="text1" w:themeTint="66"/>
            </w:tcBorders>
            <w:hideMark/>
          </w:tcPr>
          <w:p w14:paraId="12D9B2B4" w14:textId="77777777" w:rsidR="0022138A" w:rsidRPr="00533FCB" w:rsidRDefault="0022138A" w:rsidP="00533FCB">
            <w:pPr>
              <w:pStyle w:val="ListParagraph"/>
              <w:spacing w:after="160"/>
              <w:ind w:left="360"/>
              <w:jc w:val="center"/>
              <w:rPr>
                <w:rFonts w:cs="Arial"/>
              </w:rPr>
            </w:pPr>
            <w:r w:rsidRPr="00533FCB">
              <w:rPr>
                <w:rFonts w:cs="Arial"/>
              </w:rPr>
              <w:t>30 Minutes</w:t>
            </w:r>
          </w:p>
        </w:tc>
        <w:tc>
          <w:tcPr>
            <w:tcW w:w="5029" w:type="dxa"/>
            <w:tcBorders>
              <w:bottom w:val="single" w:sz="4" w:space="0" w:color="999999" w:themeColor="text1" w:themeTint="66"/>
            </w:tcBorders>
            <w:hideMark/>
          </w:tcPr>
          <w:p w14:paraId="44A95D9C" w14:textId="22B02754" w:rsidR="0022138A" w:rsidRPr="00533FCB" w:rsidRDefault="0022138A" w:rsidP="00533FCB">
            <w:pPr>
              <w:pStyle w:val="ListParagraph"/>
              <w:spacing w:after="160"/>
              <w:ind w:left="360"/>
              <w:rPr>
                <w:rFonts w:cs="Arial"/>
              </w:rPr>
            </w:pPr>
            <w:r w:rsidRPr="00533FCB">
              <w:rPr>
                <w:rFonts w:cs="Arial"/>
              </w:rPr>
              <w:t>Share the team’s recommendations with the HCM and receive feedback</w:t>
            </w:r>
            <w:r w:rsidR="00E22DA9" w:rsidRPr="00533FCB">
              <w:rPr>
                <w:rFonts w:cs="Arial"/>
              </w:rPr>
              <w:t xml:space="preserve"> on the recommendations from the HCM</w:t>
            </w:r>
            <w:r w:rsidRPr="00533FCB">
              <w:rPr>
                <w:rFonts w:cs="Arial"/>
              </w:rPr>
              <w:t>.</w:t>
            </w:r>
          </w:p>
        </w:tc>
      </w:tr>
      <w:tr w:rsidR="0022138A" w:rsidRPr="00533FCB" w14:paraId="459271D4" w14:textId="77777777" w:rsidTr="0022138A">
        <w:trPr>
          <w:trHeight w:val="646"/>
        </w:trPr>
        <w:tc>
          <w:tcPr>
            <w:tcW w:w="0" w:type="auto"/>
            <w:vMerge/>
            <w:tcBorders>
              <w:bottom w:val="single" w:sz="4" w:space="0" w:color="auto"/>
            </w:tcBorders>
            <w:hideMark/>
          </w:tcPr>
          <w:p w14:paraId="2E4EE157" w14:textId="77777777" w:rsidR="0022138A" w:rsidRPr="00533FCB" w:rsidRDefault="0022138A" w:rsidP="00533FCB">
            <w:pPr>
              <w:pStyle w:val="ListParagraph"/>
              <w:spacing w:after="160"/>
              <w:ind w:left="360"/>
              <w:rPr>
                <w:rFonts w:cs="Arial"/>
              </w:rPr>
            </w:pPr>
          </w:p>
        </w:tc>
        <w:tc>
          <w:tcPr>
            <w:tcW w:w="2774" w:type="dxa"/>
            <w:tcBorders>
              <w:bottom w:val="single" w:sz="4" w:space="0" w:color="auto"/>
            </w:tcBorders>
            <w:hideMark/>
          </w:tcPr>
          <w:p w14:paraId="23279030" w14:textId="77777777" w:rsidR="0022138A" w:rsidRPr="00533FCB" w:rsidRDefault="0022138A" w:rsidP="00533FCB">
            <w:pPr>
              <w:pStyle w:val="ListParagraph"/>
              <w:spacing w:after="160"/>
              <w:ind w:left="360"/>
              <w:rPr>
                <w:rFonts w:cs="Arial"/>
              </w:rPr>
            </w:pPr>
            <w:r w:rsidRPr="00533FCB">
              <w:rPr>
                <w:rFonts w:cs="Arial"/>
              </w:rPr>
              <w:t>Group Debriefing</w:t>
            </w:r>
          </w:p>
        </w:tc>
        <w:tc>
          <w:tcPr>
            <w:tcW w:w="1901" w:type="dxa"/>
            <w:tcBorders>
              <w:bottom w:val="single" w:sz="4" w:space="0" w:color="auto"/>
            </w:tcBorders>
            <w:hideMark/>
          </w:tcPr>
          <w:p w14:paraId="3FD34326" w14:textId="77777777" w:rsidR="0022138A" w:rsidRPr="00533FCB" w:rsidRDefault="0022138A" w:rsidP="00533FCB">
            <w:pPr>
              <w:pStyle w:val="ListParagraph"/>
              <w:spacing w:after="160"/>
              <w:ind w:left="360"/>
              <w:jc w:val="center"/>
              <w:rPr>
                <w:rFonts w:cs="Arial"/>
              </w:rPr>
            </w:pPr>
            <w:r w:rsidRPr="00533FCB">
              <w:rPr>
                <w:rFonts w:cs="Arial"/>
              </w:rPr>
              <w:t>30 Minutes</w:t>
            </w:r>
          </w:p>
        </w:tc>
        <w:tc>
          <w:tcPr>
            <w:tcW w:w="5029" w:type="dxa"/>
            <w:tcBorders>
              <w:bottom w:val="single" w:sz="4" w:space="0" w:color="auto"/>
            </w:tcBorders>
            <w:hideMark/>
          </w:tcPr>
          <w:p w14:paraId="26C3EE1C" w14:textId="77777777" w:rsidR="0022138A" w:rsidRPr="00533FCB" w:rsidRDefault="0022138A" w:rsidP="00533FCB">
            <w:pPr>
              <w:pStyle w:val="ListParagraph"/>
              <w:spacing w:after="160"/>
              <w:ind w:left="360"/>
              <w:rPr>
                <w:rFonts w:cs="Arial"/>
              </w:rPr>
            </w:pPr>
            <w:r w:rsidRPr="00533FCB">
              <w:rPr>
                <w:rFonts w:cs="Arial"/>
              </w:rPr>
              <w:t xml:space="preserve">Mentors, students and faculty meet to share their collective experiences and impressions of the learning experience. </w:t>
            </w:r>
          </w:p>
        </w:tc>
      </w:tr>
    </w:tbl>
    <w:p w14:paraId="1E259AB3" w14:textId="3DC16415" w:rsidR="00D331CA" w:rsidRPr="00533FCB" w:rsidRDefault="00D331CA" w:rsidP="00533FCB">
      <w:pPr>
        <w:pStyle w:val="ListParagraph"/>
        <w:ind w:left="360"/>
      </w:pPr>
    </w:p>
    <w:p w14:paraId="3F294216" w14:textId="77777777" w:rsidR="00D331CA" w:rsidRPr="00533FCB" w:rsidRDefault="00D331CA" w:rsidP="00533FCB">
      <w:pPr>
        <w:spacing w:after="160"/>
        <w:ind w:left="360"/>
      </w:pPr>
      <w:r w:rsidRPr="00533FCB">
        <w:br w:type="page"/>
      </w:r>
    </w:p>
    <w:p w14:paraId="47771084" w14:textId="77777777" w:rsidR="0022138A" w:rsidRPr="00533FCB" w:rsidRDefault="0022138A" w:rsidP="00533FCB">
      <w:pPr>
        <w:pStyle w:val="ListParagraph"/>
        <w:ind w:left="360"/>
      </w:pPr>
    </w:p>
    <w:p w14:paraId="310AEC00" w14:textId="48DEF01F" w:rsidR="00CC31C8" w:rsidRPr="00533FCB" w:rsidRDefault="00BD7219" w:rsidP="0012591B">
      <w:pPr>
        <w:spacing w:after="160"/>
        <w:rPr>
          <w:rFonts w:cs="Arial"/>
        </w:rPr>
      </w:pPr>
      <w:r>
        <w:rPr>
          <w:rFonts w:cs="Arial"/>
          <w:b/>
        </w:rPr>
        <w:t>Appendix B</w:t>
      </w:r>
      <w:r w:rsidR="0088205F" w:rsidRPr="00533FCB">
        <w:rPr>
          <w:rFonts w:cs="Arial"/>
          <w:b/>
        </w:rPr>
        <w:t xml:space="preserve"> </w:t>
      </w:r>
      <w:r w:rsidR="0012591B">
        <w:rPr>
          <w:rFonts w:cs="Arial"/>
          <w:b/>
        </w:rPr>
        <w:tab/>
      </w:r>
      <w:r w:rsidR="0012591B">
        <w:rPr>
          <w:rFonts w:cs="Arial"/>
          <w:b/>
        </w:rPr>
        <w:tab/>
      </w:r>
      <w:r w:rsidR="0012591B">
        <w:rPr>
          <w:rFonts w:cs="Arial"/>
          <w:b/>
        </w:rPr>
        <w:tab/>
      </w:r>
      <w:r w:rsidR="0012591B">
        <w:rPr>
          <w:rFonts w:cs="Arial"/>
          <w:b/>
        </w:rPr>
        <w:tab/>
      </w:r>
      <w:r w:rsidR="0088205F" w:rsidRPr="00533FCB">
        <w:rPr>
          <w:rFonts w:cs="Arial"/>
          <w:b/>
        </w:rPr>
        <w:t xml:space="preserve">Documentation Forms for the </w:t>
      </w:r>
      <w:proofErr w:type="spellStart"/>
      <w:r w:rsidR="0088205F" w:rsidRPr="00533FCB">
        <w:rPr>
          <w:rFonts w:cs="Arial"/>
          <w:b/>
        </w:rPr>
        <w:t>Interprofessional</w:t>
      </w:r>
      <w:proofErr w:type="spellEnd"/>
      <w:r w:rsidR="0088205F" w:rsidRPr="00533FCB">
        <w:rPr>
          <w:rFonts w:cs="Arial"/>
          <w:b/>
        </w:rPr>
        <w:t xml:space="preserve"> Team Meeting</w:t>
      </w:r>
    </w:p>
    <w:p w14:paraId="785C7EA2" w14:textId="77777777" w:rsidR="0088205F" w:rsidRPr="00533FCB" w:rsidRDefault="0088205F" w:rsidP="00533FCB">
      <w:pPr>
        <w:spacing w:after="120"/>
        <w:ind w:left="360"/>
        <w:rPr>
          <w:rFonts w:cs="Arial"/>
        </w:rPr>
      </w:pPr>
    </w:p>
    <w:p w14:paraId="39F17005" w14:textId="77777777" w:rsidR="0088205F" w:rsidRPr="00533FCB" w:rsidRDefault="0088205F" w:rsidP="00533FCB">
      <w:pPr>
        <w:pStyle w:val="Heading2"/>
        <w:ind w:left="360"/>
        <w:rPr>
          <w:rFonts w:asciiTheme="minorHAnsi" w:hAnsiTheme="minorHAnsi"/>
          <w:sz w:val="22"/>
          <w:szCs w:val="22"/>
        </w:rPr>
      </w:pPr>
      <w:proofErr w:type="spellStart"/>
      <w:r w:rsidRPr="00533FCB">
        <w:rPr>
          <w:rFonts w:asciiTheme="minorHAnsi" w:hAnsiTheme="minorHAnsi"/>
          <w:sz w:val="22"/>
          <w:szCs w:val="22"/>
        </w:rPr>
        <w:t>Interprofessional</w:t>
      </w:r>
      <w:proofErr w:type="spellEnd"/>
      <w:r w:rsidRPr="00533FCB">
        <w:rPr>
          <w:rFonts w:asciiTheme="minorHAnsi" w:hAnsiTheme="minorHAnsi"/>
          <w:sz w:val="22"/>
          <w:szCs w:val="22"/>
        </w:rPr>
        <w:t xml:space="preserve"> Team Meeting Summary &amp; Recommendations for Care</w:t>
      </w:r>
    </w:p>
    <w:p w14:paraId="7E634275" w14:textId="77777777" w:rsidR="0088205F" w:rsidRPr="00533FCB" w:rsidRDefault="0088205F" w:rsidP="00533FCB">
      <w:pPr>
        <w:ind w:left="360"/>
      </w:pPr>
      <w:r w:rsidRPr="00533FCB">
        <w:t>During the multidisciplinary team meeting, please identify the discipline specific problems that were identified during the examination or interview with the health care mentor. The discipline-specific problems will arise during the initial stages of the meeting as each group reports on their findings from the examination or interview. The rationale is the discipline specific explanation for the problem, briefly stated or summarized in a manner that helps others follow the group’s process or analysis of the case in developing care recommendations.</w:t>
      </w:r>
    </w:p>
    <w:p w14:paraId="40F9901E" w14:textId="77777777" w:rsidR="0088205F" w:rsidRPr="00533FCB" w:rsidRDefault="0088205F" w:rsidP="00533FCB">
      <w:pPr>
        <w:pStyle w:val="IntenseQuote"/>
        <w:ind w:left="360"/>
      </w:pPr>
      <w:r w:rsidRPr="00533FCB">
        <w:t>Discipline-Specific Problem Identification</w:t>
      </w:r>
    </w:p>
    <w:tbl>
      <w:tblPr>
        <w:tblStyle w:val="LightList-Accent1"/>
        <w:tblW w:w="0" w:type="auto"/>
        <w:tblLook w:val="04A0" w:firstRow="1" w:lastRow="0" w:firstColumn="1" w:lastColumn="0" w:noHBand="0" w:noVBand="1"/>
      </w:tblPr>
      <w:tblGrid>
        <w:gridCol w:w="3245"/>
        <w:gridCol w:w="6635"/>
      </w:tblGrid>
      <w:tr w:rsidR="0088205F" w:rsidRPr="00533FCB" w14:paraId="38889828" w14:textId="77777777" w:rsidTr="00262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411AB46D" w14:textId="77777777" w:rsidR="0088205F" w:rsidRPr="00533FCB" w:rsidRDefault="0088205F" w:rsidP="00533FCB">
            <w:pPr>
              <w:ind w:left="360"/>
            </w:pPr>
            <w:r w:rsidRPr="00533FCB">
              <w:t>Clinical Psychology</w:t>
            </w:r>
          </w:p>
        </w:tc>
      </w:tr>
      <w:tr w:rsidR="0088205F" w:rsidRPr="00533FCB" w14:paraId="391F5990"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B421936" w14:textId="77777777" w:rsidR="0088205F" w:rsidRPr="00533FCB" w:rsidRDefault="0088205F" w:rsidP="00533FCB">
            <w:pPr>
              <w:ind w:left="360"/>
            </w:pPr>
            <w:r w:rsidRPr="00533FCB">
              <w:t>Discipline-specific Problems</w:t>
            </w:r>
          </w:p>
        </w:tc>
        <w:tc>
          <w:tcPr>
            <w:tcW w:w="7488" w:type="dxa"/>
          </w:tcPr>
          <w:p w14:paraId="61CE0EEC" w14:textId="77777777" w:rsidR="0088205F" w:rsidRPr="00533FCB" w:rsidRDefault="0088205F" w:rsidP="00533FCB">
            <w:pPr>
              <w:ind w:left="360"/>
              <w:cnfStyle w:val="000000100000" w:firstRow="0" w:lastRow="0" w:firstColumn="0" w:lastColumn="0" w:oddVBand="0" w:evenVBand="0" w:oddHBand="1" w:evenHBand="0" w:firstRowFirstColumn="0" w:firstRowLastColumn="0" w:lastRowFirstColumn="0" w:lastRowLastColumn="0"/>
              <w:rPr>
                <w:b/>
              </w:rPr>
            </w:pPr>
            <w:r w:rsidRPr="00533FCB">
              <w:rPr>
                <w:b/>
              </w:rPr>
              <w:t>Rationale</w:t>
            </w:r>
          </w:p>
        </w:tc>
      </w:tr>
      <w:tr w:rsidR="0088205F" w:rsidRPr="00533FCB" w14:paraId="4C3FB7EA" w14:textId="77777777" w:rsidTr="00262252">
        <w:tc>
          <w:tcPr>
            <w:cnfStyle w:val="001000000000" w:firstRow="0" w:lastRow="0" w:firstColumn="1" w:lastColumn="0" w:oddVBand="0" w:evenVBand="0" w:oddHBand="0" w:evenHBand="0" w:firstRowFirstColumn="0" w:firstRowLastColumn="0" w:lastRowFirstColumn="0" w:lastRowLastColumn="0"/>
            <w:tcW w:w="3528" w:type="dxa"/>
          </w:tcPr>
          <w:p w14:paraId="02BBBD63" w14:textId="77777777" w:rsidR="0088205F" w:rsidRPr="00533FCB" w:rsidRDefault="0088205F" w:rsidP="00533FCB">
            <w:pPr>
              <w:ind w:left="360"/>
            </w:pPr>
          </w:p>
        </w:tc>
        <w:tc>
          <w:tcPr>
            <w:tcW w:w="7488" w:type="dxa"/>
          </w:tcPr>
          <w:p w14:paraId="775D2ACB" w14:textId="77777777" w:rsidR="0088205F" w:rsidRPr="00533FCB" w:rsidRDefault="0088205F" w:rsidP="00533FCB">
            <w:pPr>
              <w:ind w:left="360"/>
              <w:cnfStyle w:val="000000000000" w:firstRow="0" w:lastRow="0" w:firstColumn="0" w:lastColumn="0" w:oddVBand="0" w:evenVBand="0" w:oddHBand="0" w:evenHBand="0" w:firstRowFirstColumn="0" w:firstRowLastColumn="0" w:lastRowFirstColumn="0" w:lastRowLastColumn="0"/>
            </w:pPr>
          </w:p>
        </w:tc>
      </w:tr>
    </w:tbl>
    <w:p w14:paraId="437F7AD4" w14:textId="77777777" w:rsidR="0088205F" w:rsidRPr="00533FCB" w:rsidRDefault="0088205F" w:rsidP="00533FCB">
      <w:pPr>
        <w:ind w:left="360"/>
      </w:pPr>
    </w:p>
    <w:tbl>
      <w:tblPr>
        <w:tblStyle w:val="LightList-Accent2"/>
        <w:tblW w:w="0" w:type="auto"/>
        <w:tblLook w:val="04A0" w:firstRow="1" w:lastRow="0" w:firstColumn="1" w:lastColumn="0" w:noHBand="0" w:noVBand="1"/>
      </w:tblPr>
      <w:tblGrid>
        <w:gridCol w:w="3245"/>
        <w:gridCol w:w="6635"/>
      </w:tblGrid>
      <w:tr w:rsidR="0088205F" w:rsidRPr="00533FCB" w14:paraId="39F78AA4" w14:textId="77777777" w:rsidTr="00262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0C97E34C" w14:textId="77777777" w:rsidR="0088205F" w:rsidRPr="00533FCB" w:rsidRDefault="0088205F" w:rsidP="00533FCB">
            <w:pPr>
              <w:ind w:left="360"/>
            </w:pPr>
            <w:r w:rsidRPr="00533FCB">
              <w:t>Nursing</w:t>
            </w:r>
          </w:p>
        </w:tc>
      </w:tr>
      <w:tr w:rsidR="0088205F" w:rsidRPr="00533FCB" w14:paraId="6B6FC8B3"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88E799C" w14:textId="77777777" w:rsidR="0088205F" w:rsidRPr="00533FCB" w:rsidRDefault="0088205F" w:rsidP="00533FCB">
            <w:pPr>
              <w:ind w:left="360"/>
            </w:pPr>
            <w:r w:rsidRPr="00533FCB">
              <w:t>Discipline-specific Problems</w:t>
            </w:r>
          </w:p>
        </w:tc>
        <w:tc>
          <w:tcPr>
            <w:tcW w:w="7488" w:type="dxa"/>
          </w:tcPr>
          <w:p w14:paraId="3CDC532D" w14:textId="77777777" w:rsidR="0088205F" w:rsidRPr="00533FCB" w:rsidRDefault="0088205F" w:rsidP="00533FCB">
            <w:pPr>
              <w:ind w:left="360"/>
              <w:cnfStyle w:val="000000100000" w:firstRow="0" w:lastRow="0" w:firstColumn="0" w:lastColumn="0" w:oddVBand="0" w:evenVBand="0" w:oddHBand="1" w:evenHBand="0" w:firstRowFirstColumn="0" w:firstRowLastColumn="0" w:lastRowFirstColumn="0" w:lastRowLastColumn="0"/>
              <w:rPr>
                <w:b/>
              </w:rPr>
            </w:pPr>
            <w:r w:rsidRPr="00533FCB">
              <w:rPr>
                <w:b/>
              </w:rPr>
              <w:t>Rationale</w:t>
            </w:r>
          </w:p>
        </w:tc>
      </w:tr>
      <w:tr w:rsidR="0088205F" w:rsidRPr="00533FCB" w14:paraId="34282129" w14:textId="77777777" w:rsidTr="00262252">
        <w:tc>
          <w:tcPr>
            <w:cnfStyle w:val="001000000000" w:firstRow="0" w:lastRow="0" w:firstColumn="1" w:lastColumn="0" w:oddVBand="0" w:evenVBand="0" w:oddHBand="0" w:evenHBand="0" w:firstRowFirstColumn="0" w:firstRowLastColumn="0" w:lastRowFirstColumn="0" w:lastRowLastColumn="0"/>
            <w:tcW w:w="3528" w:type="dxa"/>
          </w:tcPr>
          <w:p w14:paraId="3A7375B0" w14:textId="77777777" w:rsidR="0088205F" w:rsidRPr="00533FCB" w:rsidRDefault="0088205F" w:rsidP="00533FCB">
            <w:pPr>
              <w:ind w:left="360"/>
            </w:pPr>
          </w:p>
        </w:tc>
        <w:tc>
          <w:tcPr>
            <w:tcW w:w="7488" w:type="dxa"/>
          </w:tcPr>
          <w:p w14:paraId="7A76A1BF" w14:textId="77777777" w:rsidR="0088205F" w:rsidRPr="00533FCB" w:rsidRDefault="0088205F" w:rsidP="00533FCB">
            <w:pPr>
              <w:ind w:left="360"/>
              <w:cnfStyle w:val="000000000000" w:firstRow="0" w:lastRow="0" w:firstColumn="0" w:lastColumn="0" w:oddVBand="0" w:evenVBand="0" w:oddHBand="0" w:evenHBand="0" w:firstRowFirstColumn="0" w:firstRowLastColumn="0" w:lastRowFirstColumn="0" w:lastRowLastColumn="0"/>
            </w:pPr>
          </w:p>
        </w:tc>
      </w:tr>
    </w:tbl>
    <w:p w14:paraId="028CF6A4" w14:textId="77777777" w:rsidR="0088205F" w:rsidRPr="00533FCB" w:rsidRDefault="0088205F" w:rsidP="00533FCB">
      <w:pPr>
        <w:ind w:left="360"/>
      </w:pPr>
    </w:p>
    <w:tbl>
      <w:tblPr>
        <w:tblStyle w:val="LightList-Accent3"/>
        <w:tblW w:w="0" w:type="auto"/>
        <w:tblLook w:val="04A0" w:firstRow="1" w:lastRow="0" w:firstColumn="1" w:lastColumn="0" w:noHBand="0" w:noVBand="1"/>
      </w:tblPr>
      <w:tblGrid>
        <w:gridCol w:w="3245"/>
        <w:gridCol w:w="6635"/>
      </w:tblGrid>
      <w:tr w:rsidR="0088205F" w:rsidRPr="00533FCB" w14:paraId="1EEFDEEC" w14:textId="77777777" w:rsidTr="00262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74DEB5C3" w14:textId="77777777" w:rsidR="0088205F" w:rsidRPr="00533FCB" w:rsidRDefault="0088205F" w:rsidP="00533FCB">
            <w:pPr>
              <w:ind w:left="360"/>
            </w:pPr>
            <w:r w:rsidRPr="00533FCB">
              <w:t>Physical Therapy</w:t>
            </w:r>
          </w:p>
        </w:tc>
      </w:tr>
      <w:tr w:rsidR="0088205F" w:rsidRPr="00533FCB" w14:paraId="1BCE4900"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347CF7C" w14:textId="77777777" w:rsidR="0088205F" w:rsidRPr="00533FCB" w:rsidRDefault="0088205F" w:rsidP="00533FCB">
            <w:pPr>
              <w:ind w:left="360"/>
            </w:pPr>
            <w:r w:rsidRPr="00533FCB">
              <w:t>Discipline-specific Problems</w:t>
            </w:r>
          </w:p>
        </w:tc>
        <w:tc>
          <w:tcPr>
            <w:tcW w:w="7488" w:type="dxa"/>
          </w:tcPr>
          <w:p w14:paraId="24EFBA64" w14:textId="77777777" w:rsidR="0088205F" w:rsidRPr="00533FCB" w:rsidRDefault="0088205F" w:rsidP="00533FCB">
            <w:pPr>
              <w:ind w:left="360"/>
              <w:cnfStyle w:val="000000100000" w:firstRow="0" w:lastRow="0" w:firstColumn="0" w:lastColumn="0" w:oddVBand="0" w:evenVBand="0" w:oddHBand="1" w:evenHBand="0" w:firstRowFirstColumn="0" w:firstRowLastColumn="0" w:lastRowFirstColumn="0" w:lastRowLastColumn="0"/>
              <w:rPr>
                <w:b/>
              </w:rPr>
            </w:pPr>
            <w:r w:rsidRPr="00533FCB">
              <w:rPr>
                <w:b/>
              </w:rPr>
              <w:t>Rationale</w:t>
            </w:r>
          </w:p>
        </w:tc>
      </w:tr>
      <w:tr w:rsidR="0088205F" w:rsidRPr="00533FCB" w14:paraId="26058817" w14:textId="77777777" w:rsidTr="00262252">
        <w:tc>
          <w:tcPr>
            <w:cnfStyle w:val="001000000000" w:firstRow="0" w:lastRow="0" w:firstColumn="1" w:lastColumn="0" w:oddVBand="0" w:evenVBand="0" w:oddHBand="0" w:evenHBand="0" w:firstRowFirstColumn="0" w:firstRowLastColumn="0" w:lastRowFirstColumn="0" w:lastRowLastColumn="0"/>
            <w:tcW w:w="3528" w:type="dxa"/>
          </w:tcPr>
          <w:p w14:paraId="53D34117" w14:textId="77777777" w:rsidR="0088205F" w:rsidRPr="00533FCB" w:rsidRDefault="0088205F" w:rsidP="00533FCB">
            <w:pPr>
              <w:ind w:left="360"/>
            </w:pPr>
          </w:p>
        </w:tc>
        <w:tc>
          <w:tcPr>
            <w:tcW w:w="7488" w:type="dxa"/>
          </w:tcPr>
          <w:p w14:paraId="6A75031E" w14:textId="77777777" w:rsidR="0088205F" w:rsidRPr="00533FCB" w:rsidRDefault="0088205F" w:rsidP="00533FCB">
            <w:pPr>
              <w:ind w:left="360"/>
              <w:cnfStyle w:val="000000000000" w:firstRow="0" w:lastRow="0" w:firstColumn="0" w:lastColumn="0" w:oddVBand="0" w:evenVBand="0" w:oddHBand="0" w:evenHBand="0" w:firstRowFirstColumn="0" w:firstRowLastColumn="0" w:lastRowFirstColumn="0" w:lastRowLastColumn="0"/>
            </w:pPr>
          </w:p>
        </w:tc>
      </w:tr>
    </w:tbl>
    <w:p w14:paraId="3D42AD4D" w14:textId="77777777" w:rsidR="0088205F" w:rsidRPr="00533FCB" w:rsidRDefault="0088205F" w:rsidP="00533FCB">
      <w:pPr>
        <w:ind w:left="360"/>
      </w:pPr>
    </w:p>
    <w:tbl>
      <w:tblPr>
        <w:tblStyle w:val="LightList-Accent4"/>
        <w:tblW w:w="0" w:type="auto"/>
        <w:tblLook w:val="04A0" w:firstRow="1" w:lastRow="0" w:firstColumn="1" w:lastColumn="0" w:noHBand="0" w:noVBand="1"/>
      </w:tblPr>
      <w:tblGrid>
        <w:gridCol w:w="3245"/>
        <w:gridCol w:w="6635"/>
      </w:tblGrid>
      <w:tr w:rsidR="0088205F" w:rsidRPr="00533FCB" w14:paraId="783CE430" w14:textId="77777777" w:rsidTr="00262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41FF3FBC" w14:textId="77777777" w:rsidR="0088205F" w:rsidRPr="00533FCB" w:rsidRDefault="0088205F" w:rsidP="00533FCB">
            <w:pPr>
              <w:ind w:left="360"/>
            </w:pPr>
            <w:r w:rsidRPr="00533FCB">
              <w:t>Social Work</w:t>
            </w:r>
          </w:p>
        </w:tc>
      </w:tr>
      <w:tr w:rsidR="0088205F" w:rsidRPr="00533FCB" w14:paraId="37AD73E7"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530AFDEC" w14:textId="77777777" w:rsidR="0088205F" w:rsidRPr="00533FCB" w:rsidRDefault="0088205F" w:rsidP="00533FCB">
            <w:pPr>
              <w:ind w:left="360"/>
            </w:pPr>
            <w:r w:rsidRPr="00533FCB">
              <w:t>Discipline-specific Problems</w:t>
            </w:r>
          </w:p>
        </w:tc>
        <w:tc>
          <w:tcPr>
            <w:tcW w:w="7488" w:type="dxa"/>
          </w:tcPr>
          <w:p w14:paraId="67BC2392" w14:textId="77777777" w:rsidR="0088205F" w:rsidRPr="00533FCB" w:rsidRDefault="0088205F" w:rsidP="00533FCB">
            <w:pPr>
              <w:ind w:left="360"/>
              <w:cnfStyle w:val="000000100000" w:firstRow="0" w:lastRow="0" w:firstColumn="0" w:lastColumn="0" w:oddVBand="0" w:evenVBand="0" w:oddHBand="1" w:evenHBand="0" w:firstRowFirstColumn="0" w:firstRowLastColumn="0" w:lastRowFirstColumn="0" w:lastRowLastColumn="0"/>
              <w:rPr>
                <w:b/>
              </w:rPr>
            </w:pPr>
            <w:r w:rsidRPr="00533FCB">
              <w:rPr>
                <w:b/>
              </w:rPr>
              <w:t>Rationale</w:t>
            </w:r>
          </w:p>
        </w:tc>
      </w:tr>
      <w:tr w:rsidR="0088205F" w:rsidRPr="00533FCB" w14:paraId="2F07B279" w14:textId="77777777" w:rsidTr="00262252">
        <w:tc>
          <w:tcPr>
            <w:cnfStyle w:val="001000000000" w:firstRow="0" w:lastRow="0" w:firstColumn="1" w:lastColumn="0" w:oddVBand="0" w:evenVBand="0" w:oddHBand="0" w:evenHBand="0" w:firstRowFirstColumn="0" w:firstRowLastColumn="0" w:lastRowFirstColumn="0" w:lastRowLastColumn="0"/>
            <w:tcW w:w="3528" w:type="dxa"/>
          </w:tcPr>
          <w:p w14:paraId="144432EC" w14:textId="77777777" w:rsidR="0088205F" w:rsidRPr="00533FCB" w:rsidRDefault="0088205F" w:rsidP="00533FCB">
            <w:pPr>
              <w:ind w:left="360"/>
            </w:pPr>
          </w:p>
        </w:tc>
        <w:tc>
          <w:tcPr>
            <w:tcW w:w="7488" w:type="dxa"/>
          </w:tcPr>
          <w:p w14:paraId="17623E96" w14:textId="77777777" w:rsidR="0088205F" w:rsidRPr="00533FCB" w:rsidRDefault="0088205F" w:rsidP="00533FCB">
            <w:pPr>
              <w:ind w:left="360"/>
              <w:cnfStyle w:val="000000000000" w:firstRow="0" w:lastRow="0" w:firstColumn="0" w:lastColumn="0" w:oddVBand="0" w:evenVBand="0" w:oddHBand="0" w:evenHBand="0" w:firstRowFirstColumn="0" w:firstRowLastColumn="0" w:lastRowFirstColumn="0" w:lastRowLastColumn="0"/>
            </w:pPr>
          </w:p>
        </w:tc>
      </w:tr>
    </w:tbl>
    <w:p w14:paraId="5556855A" w14:textId="77777777" w:rsidR="0088205F" w:rsidRPr="00533FCB" w:rsidRDefault="0088205F" w:rsidP="00533FCB">
      <w:pPr>
        <w:ind w:left="360"/>
      </w:pPr>
    </w:p>
    <w:p w14:paraId="1B8428B0" w14:textId="77777777" w:rsidR="00C1758A" w:rsidRPr="00533FCB" w:rsidRDefault="00C1758A" w:rsidP="00533FCB">
      <w:pPr>
        <w:spacing w:after="160"/>
        <w:ind w:left="360"/>
      </w:pPr>
      <w:r w:rsidRPr="00533FCB">
        <w:br w:type="page"/>
      </w:r>
    </w:p>
    <w:p w14:paraId="76E4959A" w14:textId="77777777" w:rsidR="00C1758A" w:rsidRPr="00533FCB" w:rsidRDefault="00C1758A" w:rsidP="00533FCB">
      <w:pPr>
        <w:pStyle w:val="IntenseQuote"/>
        <w:ind w:left="360"/>
      </w:pPr>
      <w:proofErr w:type="spellStart"/>
      <w:r w:rsidRPr="00533FCB">
        <w:lastRenderedPageBreak/>
        <w:t>Interprofessional</w:t>
      </w:r>
      <w:proofErr w:type="spellEnd"/>
      <w:r w:rsidRPr="00533FCB">
        <w:t xml:space="preserve"> Recommendations for Care</w:t>
      </w:r>
    </w:p>
    <w:p w14:paraId="3A4C3706" w14:textId="214F882D" w:rsidR="00C1758A" w:rsidRPr="00533FCB" w:rsidRDefault="00C1758A" w:rsidP="00533FCB">
      <w:pPr>
        <w:ind w:left="360"/>
      </w:pPr>
      <w:r w:rsidRPr="00533FCB">
        <w:t>During this stage of the process, the discipline-specific problems previously identified must be integrated in the larger team goal or purpose for providing services.  The areas of concern are identified through a consensus building process.  It may be possible that some of the disciplines may not have a specific role.  However, a discipline not assuming a role is a recommendation for care.</w:t>
      </w:r>
    </w:p>
    <w:tbl>
      <w:tblPr>
        <w:tblStyle w:val="MediumList2-Accent1"/>
        <w:tblW w:w="0" w:type="auto"/>
        <w:tblLook w:val="04A0" w:firstRow="1" w:lastRow="0" w:firstColumn="1" w:lastColumn="0" w:noHBand="0" w:noVBand="1"/>
      </w:tblPr>
      <w:tblGrid>
        <w:gridCol w:w="2461"/>
        <w:gridCol w:w="4178"/>
        <w:gridCol w:w="3261"/>
      </w:tblGrid>
      <w:tr w:rsidR="00C1758A" w:rsidRPr="00533FCB" w14:paraId="4F6304F2" w14:textId="77777777" w:rsidTr="002622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8" w:type="dxa"/>
          </w:tcPr>
          <w:p w14:paraId="18E7A13F" w14:textId="77777777" w:rsidR="00C1758A" w:rsidRPr="00533FCB" w:rsidRDefault="00C1758A" w:rsidP="00533FCB">
            <w:pPr>
              <w:ind w:left="360"/>
              <w:rPr>
                <w:rFonts w:asciiTheme="minorHAnsi" w:hAnsiTheme="minorHAnsi"/>
                <w:b/>
                <w:sz w:val="22"/>
                <w:szCs w:val="22"/>
              </w:rPr>
            </w:pPr>
            <w:r w:rsidRPr="00533FCB">
              <w:rPr>
                <w:rFonts w:asciiTheme="minorHAnsi" w:hAnsiTheme="minorHAnsi"/>
                <w:b/>
                <w:sz w:val="22"/>
                <w:szCs w:val="22"/>
              </w:rPr>
              <w:t>Area of Concern</w:t>
            </w:r>
          </w:p>
        </w:tc>
        <w:tc>
          <w:tcPr>
            <w:tcW w:w="4626" w:type="dxa"/>
          </w:tcPr>
          <w:p w14:paraId="0921ACFB" w14:textId="77777777" w:rsidR="00C1758A" w:rsidRPr="00533FCB" w:rsidRDefault="00C1758A" w:rsidP="00533FCB">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533FCB">
              <w:rPr>
                <w:rFonts w:asciiTheme="minorHAnsi" w:hAnsiTheme="minorHAnsi"/>
                <w:b/>
                <w:sz w:val="22"/>
                <w:szCs w:val="22"/>
              </w:rPr>
              <w:t>Discipline-Specific Care Recommendation</w:t>
            </w:r>
          </w:p>
        </w:tc>
        <w:tc>
          <w:tcPr>
            <w:tcW w:w="3672" w:type="dxa"/>
          </w:tcPr>
          <w:p w14:paraId="6BF5CA69" w14:textId="77777777" w:rsidR="00C1758A" w:rsidRPr="00533FCB" w:rsidRDefault="00C1758A" w:rsidP="00533FCB">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533FCB">
              <w:rPr>
                <w:rFonts w:asciiTheme="minorHAnsi" w:hAnsiTheme="minorHAnsi"/>
                <w:b/>
                <w:sz w:val="22"/>
                <w:szCs w:val="22"/>
              </w:rPr>
              <w:t>Rationale</w:t>
            </w:r>
          </w:p>
        </w:tc>
      </w:tr>
      <w:tr w:rsidR="00C1758A" w:rsidRPr="00533FCB" w14:paraId="241F269A"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val="restart"/>
          </w:tcPr>
          <w:p w14:paraId="24C199D9" w14:textId="77777777" w:rsidR="00C1758A" w:rsidRPr="00533FCB" w:rsidRDefault="00C1758A" w:rsidP="00533FCB">
            <w:pPr>
              <w:ind w:left="360"/>
              <w:rPr>
                <w:rFonts w:asciiTheme="minorHAnsi" w:hAnsiTheme="minorHAnsi"/>
              </w:rPr>
            </w:pPr>
          </w:p>
        </w:tc>
        <w:tc>
          <w:tcPr>
            <w:tcW w:w="8298" w:type="dxa"/>
            <w:gridSpan w:val="2"/>
          </w:tcPr>
          <w:p w14:paraId="3237DCD2"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Clinical Psychology</w:t>
            </w:r>
          </w:p>
        </w:tc>
      </w:tr>
      <w:tr w:rsidR="00C1758A" w:rsidRPr="00533FCB" w14:paraId="7B2D24C6"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5A18B244" w14:textId="77777777" w:rsidR="00C1758A" w:rsidRPr="00533FCB" w:rsidRDefault="00C1758A" w:rsidP="00533FCB">
            <w:pPr>
              <w:ind w:left="360"/>
              <w:rPr>
                <w:rFonts w:asciiTheme="minorHAnsi" w:hAnsiTheme="minorHAnsi"/>
              </w:rPr>
            </w:pPr>
          </w:p>
        </w:tc>
        <w:tc>
          <w:tcPr>
            <w:tcW w:w="4626" w:type="dxa"/>
          </w:tcPr>
          <w:p w14:paraId="007BD01F"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28EBDA94"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758A" w:rsidRPr="00533FCB" w14:paraId="5C2C4969"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tcPr>
          <w:p w14:paraId="0DE8B070" w14:textId="77777777" w:rsidR="00C1758A" w:rsidRPr="00533FCB" w:rsidRDefault="00C1758A" w:rsidP="00533FCB">
            <w:pPr>
              <w:ind w:left="360"/>
              <w:rPr>
                <w:rFonts w:asciiTheme="minorHAnsi" w:hAnsiTheme="minorHAnsi"/>
              </w:rPr>
            </w:pPr>
          </w:p>
        </w:tc>
        <w:tc>
          <w:tcPr>
            <w:tcW w:w="8298" w:type="dxa"/>
            <w:gridSpan w:val="2"/>
          </w:tcPr>
          <w:p w14:paraId="32C57528"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Nursing</w:t>
            </w:r>
          </w:p>
        </w:tc>
      </w:tr>
      <w:tr w:rsidR="00C1758A" w:rsidRPr="00533FCB" w14:paraId="780B4CA8"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2A091EBB" w14:textId="77777777" w:rsidR="00C1758A" w:rsidRPr="00533FCB" w:rsidRDefault="00C1758A" w:rsidP="00533FCB">
            <w:pPr>
              <w:ind w:left="360"/>
              <w:rPr>
                <w:rFonts w:asciiTheme="minorHAnsi" w:hAnsiTheme="minorHAnsi"/>
              </w:rPr>
            </w:pPr>
          </w:p>
        </w:tc>
        <w:tc>
          <w:tcPr>
            <w:tcW w:w="4626" w:type="dxa"/>
          </w:tcPr>
          <w:p w14:paraId="3AECC0C1"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27AB7745"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758A" w:rsidRPr="00533FCB" w14:paraId="0B9FD274"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tcPr>
          <w:p w14:paraId="6488CAE1" w14:textId="77777777" w:rsidR="00C1758A" w:rsidRPr="00533FCB" w:rsidRDefault="00C1758A" w:rsidP="00533FCB">
            <w:pPr>
              <w:ind w:left="360"/>
              <w:rPr>
                <w:rFonts w:asciiTheme="minorHAnsi" w:hAnsiTheme="minorHAnsi"/>
              </w:rPr>
            </w:pPr>
          </w:p>
        </w:tc>
        <w:tc>
          <w:tcPr>
            <w:tcW w:w="8298" w:type="dxa"/>
            <w:gridSpan w:val="2"/>
          </w:tcPr>
          <w:p w14:paraId="6EDC11B2"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Physical Therapy</w:t>
            </w:r>
          </w:p>
        </w:tc>
      </w:tr>
      <w:tr w:rsidR="00C1758A" w:rsidRPr="00533FCB" w14:paraId="590A3569"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0D595821" w14:textId="77777777" w:rsidR="00C1758A" w:rsidRPr="00533FCB" w:rsidRDefault="00C1758A" w:rsidP="00533FCB">
            <w:pPr>
              <w:ind w:left="360"/>
              <w:rPr>
                <w:rFonts w:asciiTheme="minorHAnsi" w:hAnsiTheme="minorHAnsi"/>
              </w:rPr>
            </w:pPr>
          </w:p>
        </w:tc>
        <w:tc>
          <w:tcPr>
            <w:tcW w:w="4626" w:type="dxa"/>
          </w:tcPr>
          <w:p w14:paraId="37968F01"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25F8E8DD"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758A" w:rsidRPr="00533FCB" w14:paraId="1838AF62"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tcPr>
          <w:p w14:paraId="77AFCFCA" w14:textId="77777777" w:rsidR="00C1758A" w:rsidRPr="00533FCB" w:rsidRDefault="00C1758A" w:rsidP="00533FCB">
            <w:pPr>
              <w:ind w:left="360"/>
              <w:rPr>
                <w:rFonts w:asciiTheme="minorHAnsi" w:hAnsiTheme="minorHAnsi"/>
              </w:rPr>
            </w:pPr>
          </w:p>
        </w:tc>
        <w:tc>
          <w:tcPr>
            <w:tcW w:w="8298" w:type="dxa"/>
            <w:gridSpan w:val="2"/>
          </w:tcPr>
          <w:p w14:paraId="2EC35FA3"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Social Work</w:t>
            </w:r>
          </w:p>
        </w:tc>
      </w:tr>
      <w:tr w:rsidR="00C1758A" w:rsidRPr="00533FCB" w14:paraId="211166C4"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51ACFACC" w14:textId="77777777" w:rsidR="00C1758A" w:rsidRPr="00533FCB" w:rsidRDefault="00C1758A" w:rsidP="00533FCB">
            <w:pPr>
              <w:ind w:left="360"/>
              <w:rPr>
                <w:rFonts w:asciiTheme="minorHAnsi" w:hAnsiTheme="minorHAnsi"/>
              </w:rPr>
            </w:pPr>
          </w:p>
        </w:tc>
        <w:tc>
          <w:tcPr>
            <w:tcW w:w="4626" w:type="dxa"/>
          </w:tcPr>
          <w:p w14:paraId="741E46C9"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488E95B0"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33A04146" w14:textId="77777777" w:rsidR="00C1758A" w:rsidRPr="00533FCB" w:rsidRDefault="00C1758A" w:rsidP="00533FCB">
      <w:pPr>
        <w:ind w:left="360"/>
      </w:pPr>
    </w:p>
    <w:tbl>
      <w:tblPr>
        <w:tblStyle w:val="MediumList2-Accent1"/>
        <w:tblW w:w="0" w:type="auto"/>
        <w:tblLook w:val="04A0" w:firstRow="1" w:lastRow="0" w:firstColumn="1" w:lastColumn="0" w:noHBand="0" w:noVBand="1"/>
      </w:tblPr>
      <w:tblGrid>
        <w:gridCol w:w="2461"/>
        <w:gridCol w:w="4178"/>
        <w:gridCol w:w="3261"/>
      </w:tblGrid>
      <w:tr w:rsidR="00C1758A" w:rsidRPr="00533FCB" w14:paraId="3342F444" w14:textId="77777777" w:rsidTr="002622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8" w:type="dxa"/>
          </w:tcPr>
          <w:p w14:paraId="25F4ECA1" w14:textId="77777777" w:rsidR="00C1758A" w:rsidRPr="00533FCB" w:rsidRDefault="00C1758A" w:rsidP="00533FCB">
            <w:pPr>
              <w:ind w:left="360"/>
              <w:rPr>
                <w:rFonts w:asciiTheme="minorHAnsi" w:hAnsiTheme="minorHAnsi"/>
                <w:b/>
                <w:sz w:val="22"/>
                <w:szCs w:val="22"/>
              </w:rPr>
            </w:pPr>
            <w:r w:rsidRPr="00533FCB">
              <w:rPr>
                <w:rFonts w:asciiTheme="minorHAnsi" w:hAnsiTheme="minorHAnsi"/>
                <w:b/>
                <w:sz w:val="22"/>
                <w:szCs w:val="22"/>
              </w:rPr>
              <w:t>Area of Concern</w:t>
            </w:r>
          </w:p>
        </w:tc>
        <w:tc>
          <w:tcPr>
            <w:tcW w:w="4626" w:type="dxa"/>
          </w:tcPr>
          <w:p w14:paraId="402699EE" w14:textId="77777777" w:rsidR="00C1758A" w:rsidRPr="00533FCB" w:rsidRDefault="00C1758A" w:rsidP="00533FCB">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533FCB">
              <w:rPr>
                <w:rFonts w:asciiTheme="minorHAnsi" w:hAnsiTheme="minorHAnsi"/>
                <w:b/>
                <w:sz w:val="22"/>
                <w:szCs w:val="22"/>
              </w:rPr>
              <w:t>Discipline-Specific Care Recommendation</w:t>
            </w:r>
          </w:p>
        </w:tc>
        <w:tc>
          <w:tcPr>
            <w:tcW w:w="3672" w:type="dxa"/>
          </w:tcPr>
          <w:p w14:paraId="23EC1734" w14:textId="77777777" w:rsidR="00C1758A" w:rsidRPr="00533FCB" w:rsidRDefault="00C1758A" w:rsidP="00533FCB">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533FCB">
              <w:rPr>
                <w:rFonts w:asciiTheme="minorHAnsi" w:hAnsiTheme="minorHAnsi"/>
                <w:b/>
                <w:sz w:val="22"/>
                <w:szCs w:val="22"/>
              </w:rPr>
              <w:t>Rationale</w:t>
            </w:r>
          </w:p>
        </w:tc>
      </w:tr>
      <w:tr w:rsidR="00C1758A" w:rsidRPr="00533FCB" w14:paraId="40CB633B"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val="restart"/>
          </w:tcPr>
          <w:p w14:paraId="2AA1AE65" w14:textId="77777777" w:rsidR="00C1758A" w:rsidRPr="00533FCB" w:rsidRDefault="00C1758A" w:rsidP="00533FCB">
            <w:pPr>
              <w:ind w:left="360"/>
              <w:rPr>
                <w:rFonts w:asciiTheme="minorHAnsi" w:hAnsiTheme="minorHAnsi"/>
              </w:rPr>
            </w:pPr>
          </w:p>
        </w:tc>
        <w:tc>
          <w:tcPr>
            <w:tcW w:w="8298" w:type="dxa"/>
            <w:gridSpan w:val="2"/>
          </w:tcPr>
          <w:p w14:paraId="17AC1C6E"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Clinical Psychology</w:t>
            </w:r>
          </w:p>
        </w:tc>
      </w:tr>
      <w:tr w:rsidR="00C1758A" w:rsidRPr="00533FCB" w14:paraId="2F7B8383"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55AA9BE9" w14:textId="77777777" w:rsidR="00C1758A" w:rsidRPr="00533FCB" w:rsidRDefault="00C1758A" w:rsidP="00533FCB">
            <w:pPr>
              <w:ind w:left="360"/>
              <w:rPr>
                <w:rFonts w:asciiTheme="minorHAnsi" w:hAnsiTheme="minorHAnsi"/>
              </w:rPr>
            </w:pPr>
          </w:p>
        </w:tc>
        <w:tc>
          <w:tcPr>
            <w:tcW w:w="4626" w:type="dxa"/>
          </w:tcPr>
          <w:p w14:paraId="0D2C0C72"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6DE619DF"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758A" w:rsidRPr="00533FCB" w14:paraId="007AE77E"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tcPr>
          <w:p w14:paraId="30710A0A" w14:textId="77777777" w:rsidR="00C1758A" w:rsidRPr="00533FCB" w:rsidRDefault="00C1758A" w:rsidP="00533FCB">
            <w:pPr>
              <w:ind w:left="360"/>
              <w:rPr>
                <w:rFonts w:asciiTheme="minorHAnsi" w:hAnsiTheme="minorHAnsi"/>
              </w:rPr>
            </w:pPr>
          </w:p>
        </w:tc>
        <w:tc>
          <w:tcPr>
            <w:tcW w:w="8298" w:type="dxa"/>
            <w:gridSpan w:val="2"/>
          </w:tcPr>
          <w:p w14:paraId="7B9AE61D"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Nursing</w:t>
            </w:r>
          </w:p>
        </w:tc>
      </w:tr>
      <w:tr w:rsidR="00C1758A" w:rsidRPr="00533FCB" w14:paraId="2CEE820E"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060F711E" w14:textId="77777777" w:rsidR="00C1758A" w:rsidRPr="00533FCB" w:rsidRDefault="00C1758A" w:rsidP="00533FCB">
            <w:pPr>
              <w:ind w:left="360"/>
              <w:rPr>
                <w:rFonts w:asciiTheme="minorHAnsi" w:hAnsiTheme="minorHAnsi"/>
              </w:rPr>
            </w:pPr>
          </w:p>
        </w:tc>
        <w:tc>
          <w:tcPr>
            <w:tcW w:w="4626" w:type="dxa"/>
          </w:tcPr>
          <w:p w14:paraId="1973430D"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75DFFCB4"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758A" w:rsidRPr="00533FCB" w14:paraId="197ECE5B"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tcPr>
          <w:p w14:paraId="55001818" w14:textId="77777777" w:rsidR="00C1758A" w:rsidRPr="00533FCB" w:rsidRDefault="00C1758A" w:rsidP="00533FCB">
            <w:pPr>
              <w:ind w:left="360"/>
              <w:rPr>
                <w:rFonts w:asciiTheme="minorHAnsi" w:hAnsiTheme="minorHAnsi"/>
              </w:rPr>
            </w:pPr>
          </w:p>
        </w:tc>
        <w:tc>
          <w:tcPr>
            <w:tcW w:w="8298" w:type="dxa"/>
            <w:gridSpan w:val="2"/>
          </w:tcPr>
          <w:p w14:paraId="7FA935B8"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Physical Therapy</w:t>
            </w:r>
          </w:p>
        </w:tc>
      </w:tr>
      <w:tr w:rsidR="00C1758A" w:rsidRPr="00533FCB" w14:paraId="2B3CA0A8"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30BF2BF0" w14:textId="77777777" w:rsidR="00C1758A" w:rsidRPr="00533FCB" w:rsidRDefault="00C1758A" w:rsidP="00533FCB">
            <w:pPr>
              <w:ind w:left="360"/>
              <w:rPr>
                <w:rFonts w:asciiTheme="minorHAnsi" w:hAnsiTheme="minorHAnsi"/>
              </w:rPr>
            </w:pPr>
          </w:p>
        </w:tc>
        <w:tc>
          <w:tcPr>
            <w:tcW w:w="4626" w:type="dxa"/>
          </w:tcPr>
          <w:p w14:paraId="3105567A"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34D35A51"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758A" w:rsidRPr="00533FCB" w14:paraId="3934B064" w14:textId="77777777" w:rsidTr="0026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tcPr>
          <w:p w14:paraId="4FEC0E98" w14:textId="77777777" w:rsidR="00C1758A" w:rsidRPr="00533FCB" w:rsidRDefault="00C1758A" w:rsidP="00533FCB">
            <w:pPr>
              <w:ind w:left="360"/>
              <w:rPr>
                <w:rFonts w:asciiTheme="minorHAnsi" w:hAnsiTheme="minorHAnsi"/>
              </w:rPr>
            </w:pPr>
          </w:p>
        </w:tc>
        <w:tc>
          <w:tcPr>
            <w:tcW w:w="8298" w:type="dxa"/>
            <w:gridSpan w:val="2"/>
          </w:tcPr>
          <w:p w14:paraId="2DF8B496" w14:textId="77777777" w:rsidR="00C1758A" w:rsidRPr="00533FCB" w:rsidRDefault="00C1758A" w:rsidP="00533FCB">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3FCB">
              <w:rPr>
                <w:rFonts w:asciiTheme="minorHAnsi" w:hAnsiTheme="minorHAnsi"/>
                <w:b/>
              </w:rPr>
              <w:t>Social Work</w:t>
            </w:r>
          </w:p>
        </w:tc>
      </w:tr>
      <w:tr w:rsidR="00C1758A" w:rsidRPr="00533FCB" w14:paraId="790FD1FA" w14:textId="77777777" w:rsidTr="00262252">
        <w:tc>
          <w:tcPr>
            <w:cnfStyle w:val="001000000000" w:firstRow="0" w:lastRow="0" w:firstColumn="1" w:lastColumn="0" w:oddVBand="0" w:evenVBand="0" w:oddHBand="0" w:evenHBand="0" w:firstRowFirstColumn="0" w:firstRowLastColumn="0" w:lastRowFirstColumn="0" w:lastRowLastColumn="0"/>
            <w:tcW w:w="2718" w:type="dxa"/>
            <w:vMerge/>
          </w:tcPr>
          <w:p w14:paraId="355FB443" w14:textId="77777777" w:rsidR="00C1758A" w:rsidRPr="00533FCB" w:rsidRDefault="00C1758A" w:rsidP="00533FCB">
            <w:pPr>
              <w:ind w:left="360"/>
              <w:rPr>
                <w:rFonts w:asciiTheme="minorHAnsi" w:hAnsiTheme="minorHAnsi"/>
              </w:rPr>
            </w:pPr>
          </w:p>
        </w:tc>
        <w:tc>
          <w:tcPr>
            <w:tcW w:w="4626" w:type="dxa"/>
          </w:tcPr>
          <w:p w14:paraId="33933034"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72" w:type="dxa"/>
          </w:tcPr>
          <w:p w14:paraId="30AD07C5" w14:textId="77777777" w:rsidR="00C1758A" w:rsidRPr="00533FCB" w:rsidRDefault="00C1758A" w:rsidP="00533FCB">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EF7539C" w14:textId="77777777" w:rsidR="00C1758A" w:rsidRPr="00533FCB" w:rsidRDefault="00C1758A" w:rsidP="00533FCB">
      <w:pPr>
        <w:ind w:left="360"/>
      </w:pPr>
    </w:p>
    <w:p w14:paraId="0F730F88" w14:textId="49F0EDE7" w:rsidR="0088205F" w:rsidRPr="00533FCB" w:rsidRDefault="0088205F" w:rsidP="00533FCB">
      <w:pPr>
        <w:ind w:left="360"/>
        <w:rPr>
          <w:rFonts w:cs="Arial"/>
        </w:rPr>
      </w:pPr>
    </w:p>
    <w:sectPr w:rsidR="0088205F" w:rsidRPr="00533FCB" w:rsidSect="009B7C49">
      <w:headerReference w:type="default" r:id="rId13"/>
      <w:footerReference w:type="default" r:id="rId14"/>
      <w:pgSz w:w="12240" w:h="15840"/>
      <w:pgMar w:top="720" w:right="108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3DC72" w14:textId="77777777" w:rsidR="00731F57" w:rsidRDefault="00731F57" w:rsidP="000B0734">
      <w:pPr>
        <w:spacing w:after="0" w:line="240" w:lineRule="auto"/>
      </w:pPr>
      <w:r>
        <w:separator/>
      </w:r>
    </w:p>
  </w:endnote>
  <w:endnote w:type="continuationSeparator" w:id="0">
    <w:p w14:paraId="77AFB478" w14:textId="77777777" w:rsidR="00731F57" w:rsidRDefault="00731F57"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C859" w14:textId="77777777" w:rsidR="004A7CC7" w:rsidRDefault="004A7CC7" w:rsidP="004A7CC7">
    <w:pPr>
      <w:pStyle w:val="Footer"/>
      <w:jc w:val="center"/>
      <w:rPr>
        <w:i/>
        <w:sz w:val="18"/>
        <w:szCs w:val="18"/>
      </w:rPr>
    </w:pPr>
    <w:r>
      <w:rPr>
        <w:i/>
        <w:iCs/>
        <w:sz w:val="18"/>
        <w:szCs w:val="18"/>
      </w:rPr>
      <w:t>Reprinted with permission of the Academy of Neurologic Physical Therapy, Inc.</w:t>
    </w:r>
  </w:p>
  <w:p w14:paraId="50D0C4C4" w14:textId="77777777" w:rsidR="004A7CC7" w:rsidRDefault="004A7CC7" w:rsidP="004A7CC7">
    <w:pPr>
      <w:pStyle w:val="Footer"/>
      <w:jc w:val="center"/>
      <w:rPr>
        <w:i/>
        <w:sz w:val="18"/>
        <w:szCs w:val="18"/>
      </w:rPr>
    </w:pPr>
    <w:r>
      <w:rPr>
        <w:i/>
        <w:sz w:val="18"/>
        <w:szCs w:val="18"/>
      </w:rPr>
      <w:t>Do not duplicate without acknowledging Learning Activity author.</w:t>
    </w:r>
  </w:p>
  <w:p w14:paraId="09E5D847" w14:textId="77777777" w:rsidR="00BD7219" w:rsidRPr="004A7CC7" w:rsidRDefault="00BD7219" w:rsidP="004A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A0C74" w14:textId="77777777" w:rsidR="00731F57" w:rsidRDefault="00731F57" w:rsidP="000B0734">
      <w:pPr>
        <w:spacing w:after="0" w:line="240" w:lineRule="auto"/>
      </w:pPr>
      <w:r>
        <w:separator/>
      </w:r>
    </w:p>
  </w:footnote>
  <w:footnote w:type="continuationSeparator" w:id="0">
    <w:p w14:paraId="17615214" w14:textId="77777777" w:rsidR="00731F57" w:rsidRDefault="00731F57"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E18E" w14:textId="5AA8AAA0" w:rsidR="00DA3177" w:rsidRDefault="00DA3177"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E1223"/>
    <w:multiLevelType w:val="hybridMultilevel"/>
    <w:tmpl w:val="F0045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80B31"/>
    <w:multiLevelType w:val="hybridMultilevel"/>
    <w:tmpl w:val="F3AA6A3C"/>
    <w:lvl w:ilvl="0" w:tplc="A7D89A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27567"/>
    <w:rsid w:val="0009476D"/>
    <w:rsid w:val="000A5A7B"/>
    <w:rsid w:val="000B0734"/>
    <w:rsid w:val="000C368E"/>
    <w:rsid w:val="000D2121"/>
    <w:rsid w:val="000E3D41"/>
    <w:rsid w:val="0011769B"/>
    <w:rsid w:val="0012591B"/>
    <w:rsid w:val="00130056"/>
    <w:rsid w:val="001372F8"/>
    <w:rsid w:val="00147930"/>
    <w:rsid w:val="001559E2"/>
    <w:rsid w:val="0016383E"/>
    <w:rsid w:val="00171283"/>
    <w:rsid w:val="00172900"/>
    <w:rsid w:val="001C1F8E"/>
    <w:rsid w:val="001D483B"/>
    <w:rsid w:val="00201B5F"/>
    <w:rsid w:val="00211D35"/>
    <w:rsid w:val="0022138A"/>
    <w:rsid w:val="0024156B"/>
    <w:rsid w:val="002544FB"/>
    <w:rsid w:val="002565C7"/>
    <w:rsid w:val="002705D9"/>
    <w:rsid w:val="002F56BF"/>
    <w:rsid w:val="002F6E47"/>
    <w:rsid w:val="003076E9"/>
    <w:rsid w:val="0031258C"/>
    <w:rsid w:val="00320B98"/>
    <w:rsid w:val="00343C4C"/>
    <w:rsid w:val="00362F3C"/>
    <w:rsid w:val="003A03A9"/>
    <w:rsid w:val="003A6913"/>
    <w:rsid w:val="003B001F"/>
    <w:rsid w:val="003D44A5"/>
    <w:rsid w:val="003E3049"/>
    <w:rsid w:val="00412D3C"/>
    <w:rsid w:val="00435C5D"/>
    <w:rsid w:val="0045087D"/>
    <w:rsid w:val="00481A66"/>
    <w:rsid w:val="004A7CC7"/>
    <w:rsid w:val="004E29F2"/>
    <w:rsid w:val="00511C2D"/>
    <w:rsid w:val="0051682E"/>
    <w:rsid w:val="00533FCB"/>
    <w:rsid w:val="00536F08"/>
    <w:rsid w:val="00556770"/>
    <w:rsid w:val="005A4E53"/>
    <w:rsid w:val="005B7CF1"/>
    <w:rsid w:val="005E7C0F"/>
    <w:rsid w:val="005F2A2B"/>
    <w:rsid w:val="006024F5"/>
    <w:rsid w:val="006161DC"/>
    <w:rsid w:val="0062627D"/>
    <w:rsid w:val="00633A23"/>
    <w:rsid w:val="0067164D"/>
    <w:rsid w:val="00677746"/>
    <w:rsid w:val="006F5B8E"/>
    <w:rsid w:val="006F6632"/>
    <w:rsid w:val="006F6B68"/>
    <w:rsid w:val="007007A1"/>
    <w:rsid w:val="007116BB"/>
    <w:rsid w:val="007122E1"/>
    <w:rsid w:val="00717CD9"/>
    <w:rsid w:val="00731F57"/>
    <w:rsid w:val="0077752E"/>
    <w:rsid w:val="007A1F60"/>
    <w:rsid w:val="007B040D"/>
    <w:rsid w:val="007C6072"/>
    <w:rsid w:val="007D1606"/>
    <w:rsid w:val="007D42B2"/>
    <w:rsid w:val="007F4965"/>
    <w:rsid w:val="00824CD0"/>
    <w:rsid w:val="00844B66"/>
    <w:rsid w:val="00866F5D"/>
    <w:rsid w:val="008760AC"/>
    <w:rsid w:val="00881155"/>
    <w:rsid w:val="0088205F"/>
    <w:rsid w:val="00897F50"/>
    <w:rsid w:val="008C2C21"/>
    <w:rsid w:val="008D2051"/>
    <w:rsid w:val="008E6E92"/>
    <w:rsid w:val="008E738E"/>
    <w:rsid w:val="00904C55"/>
    <w:rsid w:val="0096756B"/>
    <w:rsid w:val="009960BA"/>
    <w:rsid w:val="009B24D4"/>
    <w:rsid w:val="009B7C49"/>
    <w:rsid w:val="009D3965"/>
    <w:rsid w:val="009D51B6"/>
    <w:rsid w:val="009F2BED"/>
    <w:rsid w:val="00A466F8"/>
    <w:rsid w:val="00AA6A79"/>
    <w:rsid w:val="00AD77B5"/>
    <w:rsid w:val="00AE5A8B"/>
    <w:rsid w:val="00AF7DD8"/>
    <w:rsid w:val="00B02035"/>
    <w:rsid w:val="00B229D6"/>
    <w:rsid w:val="00B91FA7"/>
    <w:rsid w:val="00BA311B"/>
    <w:rsid w:val="00BB47CD"/>
    <w:rsid w:val="00BC5D91"/>
    <w:rsid w:val="00BD7219"/>
    <w:rsid w:val="00C049FE"/>
    <w:rsid w:val="00C14AB4"/>
    <w:rsid w:val="00C1758A"/>
    <w:rsid w:val="00C521CA"/>
    <w:rsid w:val="00C779A0"/>
    <w:rsid w:val="00CC31C8"/>
    <w:rsid w:val="00CC58FD"/>
    <w:rsid w:val="00D331CA"/>
    <w:rsid w:val="00D44B22"/>
    <w:rsid w:val="00D4795F"/>
    <w:rsid w:val="00D618FF"/>
    <w:rsid w:val="00DA3177"/>
    <w:rsid w:val="00DB2636"/>
    <w:rsid w:val="00DD583C"/>
    <w:rsid w:val="00E00052"/>
    <w:rsid w:val="00E02370"/>
    <w:rsid w:val="00E05FB6"/>
    <w:rsid w:val="00E22DA9"/>
    <w:rsid w:val="00E40FE5"/>
    <w:rsid w:val="00E419DE"/>
    <w:rsid w:val="00E4504D"/>
    <w:rsid w:val="00E577C6"/>
    <w:rsid w:val="00E83B45"/>
    <w:rsid w:val="00E923D4"/>
    <w:rsid w:val="00EB1753"/>
    <w:rsid w:val="00ED0DCD"/>
    <w:rsid w:val="00ED779E"/>
    <w:rsid w:val="00F03503"/>
    <w:rsid w:val="00F04814"/>
    <w:rsid w:val="00F26DD7"/>
    <w:rsid w:val="00F27F93"/>
    <w:rsid w:val="00F4284B"/>
    <w:rsid w:val="00F53371"/>
    <w:rsid w:val="00F67935"/>
    <w:rsid w:val="00F8378C"/>
    <w:rsid w:val="00F86CF2"/>
    <w:rsid w:val="00F87255"/>
    <w:rsid w:val="00FA7364"/>
    <w:rsid w:val="00FC77D1"/>
    <w:rsid w:val="00FE45F2"/>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uiPriority w:val="9"/>
    <w:qFormat/>
    <w:rsid w:val="00D618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820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3D44A5"/>
    <w:rPr>
      <w:color w:val="0563C1" w:themeColor="hyperlink"/>
      <w:u w:val="single"/>
    </w:rPr>
  </w:style>
  <w:style w:type="paragraph" w:styleId="Caption">
    <w:name w:val="caption"/>
    <w:basedOn w:val="Normal"/>
    <w:next w:val="Normal"/>
    <w:uiPriority w:val="35"/>
    <w:unhideWhenUsed/>
    <w:qFormat/>
    <w:rsid w:val="0022138A"/>
    <w:pPr>
      <w:spacing w:line="240" w:lineRule="auto"/>
    </w:pPr>
    <w:rPr>
      <w:rFonts w:ascii="Times New Roman" w:eastAsia="Times New Roman" w:hAnsi="Times New Roman" w:cs="Times New Roman"/>
      <w:i/>
      <w:iCs/>
      <w:color w:val="44546A" w:themeColor="text2"/>
      <w:sz w:val="18"/>
      <w:szCs w:val="18"/>
    </w:rPr>
  </w:style>
  <w:style w:type="table" w:customStyle="1" w:styleId="GridTable1Light1">
    <w:name w:val="Grid Table 1 Light1"/>
    <w:basedOn w:val="TableNormal"/>
    <w:uiPriority w:val="46"/>
    <w:rsid w:val="002213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88205F"/>
    <w:rPr>
      <w:rFonts w:asciiTheme="majorHAnsi" w:eastAsiaTheme="majorEastAsia" w:hAnsiTheme="majorHAnsi" w:cstheme="majorBidi"/>
      <w:b/>
      <w:bCs/>
      <w:color w:val="5B9BD5" w:themeColor="accent1"/>
      <w:sz w:val="26"/>
      <w:szCs w:val="26"/>
    </w:rPr>
  </w:style>
  <w:style w:type="paragraph" w:styleId="IntenseQuote">
    <w:name w:val="Intense Quote"/>
    <w:basedOn w:val="Normal"/>
    <w:next w:val="Normal"/>
    <w:link w:val="IntenseQuoteChar"/>
    <w:uiPriority w:val="30"/>
    <w:qFormat/>
    <w:rsid w:val="0088205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8205F"/>
    <w:rPr>
      <w:b/>
      <w:bCs/>
      <w:i/>
      <w:iCs/>
      <w:color w:val="5B9BD5" w:themeColor="accent1"/>
    </w:rPr>
  </w:style>
  <w:style w:type="table" w:styleId="LightList-Accent2">
    <w:name w:val="Light List Accent 2"/>
    <w:basedOn w:val="TableNormal"/>
    <w:uiPriority w:val="61"/>
    <w:rsid w:val="0088205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1">
    <w:name w:val="Light List Accent 1"/>
    <w:basedOn w:val="TableNormal"/>
    <w:uiPriority w:val="61"/>
    <w:rsid w:val="0088205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88205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8205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List2-Accent1">
    <w:name w:val="Medium List 2 Accent 1"/>
    <w:basedOn w:val="TableNormal"/>
    <w:uiPriority w:val="66"/>
    <w:rsid w:val="00C175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D618F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6058">
      <w:bodyDiv w:val="1"/>
      <w:marLeft w:val="0"/>
      <w:marRight w:val="0"/>
      <w:marTop w:val="0"/>
      <w:marBottom w:val="0"/>
      <w:divBdr>
        <w:top w:val="none" w:sz="0" w:space="0" w:color="auto"/>
        <w:left w:val="none" w:sz="0" w:space="0" w:color="auto"/>
        <w:bottom w:val="none" w:sz="0" w:space="0" w:color="auto"/>
        <w:right w:val="none" w:sz="0" w:space="0" w:color="auto"/>
      </w:divBdr>
      <w:divsChild>
        <w:div w:id="970016711">
          <w:marLeft w:val="0"/>
          <w:marRight w:val="0"/>
          <w:marTop w:val="0"/>
          <w:marBottom w:val="0"/>
          <w:divBdr>
            <w:top w:val="none" w:sz="0" w:space="0" w:color="auto"/>
            <w:left w:val="none" w:sz="0" w:space="0" w:color="auto"/>
            <w:bottom w:val="none" w:sz="0" w:space="0" w:color="auto"/>
            <w:right w:val="none" w:sz="0" w:space="0" w:color="auto"/>
          </w:divBdr>
        </w:div>
      </w:divsChild>
    </w:div>
    <w:div w:id="1430393596">
      <w:bodyDiv w:val="1"/>
      <w:marLeft w:val="0"/>
      <w:marRight w:val="0"/>
      <w:marTop w:val="0"/>
      <w:marBottom w:val="0"/>
      <w:divBdr>
        <w:top w:val="none" w:sz="0" w:space="0" w:color="auto"/>
        <w:left w:val="none" w:sz="0" w:space="0" w:color="auto"/>
        <w:bottom w:val="none" w:sz="0" w:space="0" w:color="auto"/>
        <w:right w:val="none" w:sz="0" w:space="0" w:color="auto"/>
      </w:divBdr>
    </w:div>
    <w:div w:id="18782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wellmon@widene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uropt.org/docs/default-document-library/2011_neurologic_entry-level_curriculum_guidelines7E676FEAFF3D.pdf?sfvrsn=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n.nche.edu/education-resources/ipec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uropt.org/professional-resources/neurology-section-outcome-measures-recommendations/multiple-sclerosis" TargetMode="External"/><Relationship Id="rId4" Type="http://schemas.openxmlformats.org/officeDocument/2006/relationships/settings" Target="settings.xml"/><Relationship Id="rId9" Type="http://schemas.openxmlformats.org/officeDocument/2006/relationships/hyperlink" Target="http://www.nationalmssociety.org/For-Professionals/Professional-Resource-Cen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6FD6-FF48-406C-8C70-B1D7FD7E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2016-03-10T17:28:00Z</dcterms:created>
  <dcterms:modified xsi:type="dcterms:W3CDTF">2016-06-30T16:58:00Z</dcterms:modified>
</cp:coreProperties>
</file>